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Tabelacomgrade"/>
        <w:tblW w:w="935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267"/>
        <w:gridCol w:w="1701"/>
        <w:gridCol w:w="9"/>
        <w:gridCol w:w="421"/>
        <w:gridCol w:w="5956"/>
      </w:tblGrid>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center"/>
              <w:rPr>
                <w:rFonts w:ascii="Arial" w:hAnsi="Arial" w:cs="Arial"/>
                <w:sz w:val="22"/>
                <w:szCs w:val="22"/>
              </w:rPr>
            </w:pPr>
            <w:r>
              <w:rPr>
                <w:rFonts w:eastAsia="Times New Roman" w:cs="Arial" w:ascii="Arial" w:hAnsi="Arial"/>
                <w:b/>
                <w:bCs/>
                <w:kern w:val="0"/>
                <w:sz w:val="22"/>
                <w:szCs w:val="22"/>
                <w:lang w:val="pt-BR" w:eastAsia="pt-BR" w:bidi="ar-SA"/>
              </w:rPr>
              <w:t>ESTUDO TÉCNICO PRELIMINAR (ETP)</w:t>
            </w:r>
          </w:p>
        </w:tc>
      </w:tr>
      <w:tr>
        <w:trPr/>
        <w:tc>
          <w:tcPr>
            <w:tcW w:w="9354" w:type="dxa"/>
            <w:gridSpan w:val="5"/>
            <w:tcBorders>
              <w:top w:val="nil"/>
              <w:left w:val="nil"/>
              <w:bottom w:val="nil"/>
              <w:right w:val="nil"/>
            </w:tcBorders>
            <w:shd w:color="auto" w:fill="365F91" w:themeFill="accent1" w:themeFillShade="bf" w:val="clear"/>
          </w:tcPr>
          <w:p>
            <w:pPr>
              <w:pStyle w:val="Normal"/>
              <w:widowControl/>
              <w:spacing w:lineRule="auto" w:line="276" w:before="0" w:after="0"/>
              <w:ind w:hanging="2" w:right="-2"/>
              <w:jc w:val="both"/>
              <w:rPr>
                <w:rFonts w:ascii="Arial" w:hAnsi="Arial" w:cs="Arial"/>
                <w:sz w:val="22"/>
                <w:szCs w:val="22"/>
              </w:rPr>
            </w:pPr>
            <w:r>
              <w:rPr>
                <w:rFonts w:eastAsia="Times New Roman" w:cs="Arial" w:ascii="Arial" w:hAnsi="Arial"/>
                <w:b/>
                <w:bCs/>
                <w:color w:themeColor="background1" w:val="FFFFFF"/>
                <w:kern w:val="0"/>
                <w:sz w:val="22"/>
                <w:szCs w:val="22"/>
                <w:lang w:val="pt-BR" w:eastAsia="pt-BR" w:bidi="ar-SA"/>
              </w:rPr>
              <w:t>I - INFORMAÇÕES GERAIS</w:t>
            </w:r>
          </w:p>
        </w:tc>
      </w:tr>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cs="Arial"/>
                <w:b/>
                <w:bCs/>
                <w:sz w:val="20"/>
                <w:szCs w:val="20"/>
              </w:rPr>
            </w:pPr>
            <w:r>
              <w:rPr>
                <w:rFonts w:cs="Arial" w:ascii="Arial" w:hAnsi="Arial"/>
                <w:b/>
                <w:bCs/>
                <w:sz w:val="20"/>
                <w:szCs w:val="20"/>
              </w:rPr>
            </w:r>
          </w:p>
        </w:tc>
      </w:tr>
      <w:tr>
        <w:trPr/>
        <w:tc>
          <w:tcPr>
            <w:tcW w:w="2977" w:type="dxa"/>
            <w:gridSpan w:val="3"/>
            <w:tcBorders>
              <w:top w:val="single" w:sz="12" w:space="0" w:color="000000"/>
              <w:left w:val="single" w:sz="12" w:space="0" w:color="000000"/>
              <w:bottom w:val="nil"/>
              <w:right w:val="single" w:sz="12" w:space="0" w:color="000000"/>
            </w:tcBorders>
            <w:shd w:color="auto" w:fill="DBE5F1" w:themeFill="accent1" w:themeFillTint="33" w:val="clear"/>
          </w:tcPr>
          <w:p>
            <w:pPr>
              <w:pStyle w:val="ListParagraph"/>
              <w:widowControl/>
              <w:numPr>
                <w:ilvl w:val="0"/>
                <w:numId w:val="4"/>
              </w:numPr>
              <w:spacing w:lineRule="auto" w:line="276" w:before="0" w:after="0"/>
              <w:ind w:firstLine="142" w:left="0" w:right="-2"/>
              <w:contextualSpacing/>
              <w:jc w:val="both"/>
              <w:rPr>
                <w:rFonts w:ascii="Arial" w:hAnsi="Arial" w:eastAsia="SimSun" w:cs="Arial"/>
                <w:b/>
                <w:bCs/>
                <w:kern w:val="2"/>
                <w:sz w:val="20"/>
                <w:szCs w:val="20"/>
                <w:lang w:eastAsia="zh-CN" w:bidi="hi-IN"/>
              </w:rPr>
            </w:pPr>
            <w:r>
              <w:rPr>
                <w:rFonts w:eastAsia="SimSun" w:cs="Arial" w:ascii="Arial" w:hAnsi="Arial"/>
                <w:b/>
                <w:bCs/>
                <w:kern w:val="2"/>
                <w:sz w:val="20"/>
                <w:szCs w:val="20"/>
                <w:lang w:val="pt-BR" w:eastAsia="zh-CN" w:bidi="hi-IN"/>
              </w:rPr>
              <w:t>Número do Processo</w:t>
            </w:r>
          </w:p>
          <w:p>
            <w:pPr>
              <w:pStyle w:val="Normal"/>
              <w:widowControl/>
              <w:spacing w:lineRule="auto" w:line="276" w:before="0" w:after="0"/>
              <w:ind w:firstLine="142" w:right="-2"/>
              <w:jc w:val="both"/>
              <w:rPr>
                <w:rFonts w:ascii="Arial" w:hAnsi="Arial" w:cs="Arial"/>
                <w:sz w:val="20"/>
                <w:szCs w:val="20"/>
              </w:rPr>
            </w:pPr>
            <w:r>
              <w:rPr>
                <w:rFonts w:eastAsia="SimSun" w:cs="Arial" w:ascii="Arial" w:hAnsi="Arial"/>
                <w:b/>
                <w:bCs/>
                <w:kern w:val="2"/>
                <w:sz w:val="20"/>
                <w:szCs w:val="20"/>
                <w:lang w:val="pt-BR" w:eastAsia="zh-CN" w:bidi="hi-IN"/>
              </w:rPr>
              <w:t>Administrativo:</w:t>
            </w:r>
          </w:p>
        </w:tc>
        <w:tc>
          <w:tcPr>
            <w:tcW w:w="6377" w:type="dxa"/>
            <w:gridSpan w:val="2"/>
            <w:tcBorders>
              <w:top w:val="single" w:sz="12" w:space="0" w:color="000000"/>
              <w:left w:val="single" w:sz="12" w:space="0" w:color="000000"/>
              <w:right w:val="single" w:sz="12" w:space="0" w:color="000000"/>
            </w:tcBorders>
            <w:shd w:color="auto" w:fill="FFFFFF" w:themeFill="background1" w:val="clear"/>
          </w:tcPr>
          <w:p>
            <w:pPr>
              <w:pStyle w:val="Normal"/>
              <w:widowControl/>
              <w:spacing w:lineRule="auto" w:line="276" w:before="0" w:after="0"/>
              <w:ind w:firstLine="142" w:right="-2"/>
              <w:jc w:val="both"/>
              <w:rPr>
                <w:rFonts w:ascii="Arial" w:hAnsi="Arial" w:cs="Arial"/>
                <w:sz w:val="20"/>
                <w:szCs w:val="20"/>
              </w:rPr>
            </w:pPr>
            <w:r>
              <w:rPr>
                <w:rFonts w:eastAsia="SimSun" w:cs="Arial" w:ascii="Arial" w:hAnsi="Arial"/>
                <w:b/>
                <w:bCs/>
                <w:color w:val="FF0000"/>
                <w:kern w:val="2"/>
                <w:sz w:val="20"/>
                <w:szCs w:val="20"/>
                <w:lang w:val="pt-BR" w:eastAsia="zh-CN" w:bidi="hi-IN"/>
              </w:rPr>
              <w:t>_____</w:t>
            </w:r>
            <w:r>
              <w:rPr>
                <w:rFonts w:eastAsia="SimSun" w:cs="Arial" w:ascii="Arial" w:hAnsi="Arial"/>
                <w:b/>
                <w:bCs/>
                <w:kern w:val="2"/>
                <w:sz w:val="20"/>
                <w:szCs w:val="20"/>
                <w:lang w:val="pt-BR" w:eastAsia="zh-CN" w:bidi="hi-IN"/>
              </w:rPr>
              <w:t>/2025</w:t>
            </w:r>
          </w:p>
        </w:tc>
      </w:tr>
      <w:tr>
        <w:trPr/>
        <w:tc>
          <w:tcPr>
            <w:tcW w:w="9354" w:type="dxa"/>
            <w:gridSpan w:val="5"/>
            <w:tcBorders>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r>
      <w:tr>
        <w:trPr>
          <w:trHeight w:val="191" w:hRule="atLeast"/>
        </w:trPr>
        <w:tc>
          <w:tcPr>
            <w:tcW w:w="2968" w:type="dxa"/>
            <w:gridSpan w:val="2"/>
            <w:tcBorders>
              <w:top w:val="nil"/>
              <w:left w:val="nil"/>
              <w:bottom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2. Setor Requisitante:</w:t>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1 - SECRETARIA DE GOVERNO</w:t>
            </w:r>
          </w:p>
        </w:tc>
      </w:tr>
      <w:tr>
        <w:trPr>
          <w:trHeight w:val="203" w:hRule="atLeast"/>
        </w:trPr>
        <w:tc>
          <w:tcPr>
            <w:tcW w:w="2968" w:type="dxa"/>
            <w:gridSpan w:val="2"/>
            <w:vMerge w:val="restart"/>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2 - ASSESSORIA JURÍDICA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6 - SECRETARIA DE ADMINISTRAÇÃO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7 - SECRETARIA DE PLANEJAMENTO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8 - SECRETARIA DE FAZENDA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9 - SECRETARIA DE SAÚDE</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10 - SECRETARIA DE EDUCAÇÃO, CULTURA E DESPORTO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11 - SECRETARIA DO MEIO AMBIENTE E REC. HÍDRICOS</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12 - SECRETARIA DE OBRAS, SERV. E DES. URBANO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cs="Arial"/>
                <w:sz w:val="20"/>
                <w:szCs w:val="20"/>
              </w:rPr>
            </w:pPr>
            <w:r>
              <w:rPr>
                <w:rFonts w:cs="Arial" w:ascii="Arial" w:hAnsi="Arial"/>
                <w:sz w:val="20"/>
                <w:szCs w:val="20"/>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13 - SECRETARIA DE ASSISTÊNCIA SOCIAL</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14 - SECRETARIA DE DESENVOLVIMENTO ECONÔMICO</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val="pt-BR" w:eastAsia="zh-CN" w:bidi="hi-IN"/>
              </w:rPr>
              <w:t>X</w:t>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15 - SECRETARIA DE AGRICULTURA E PECUÁRIA</w:t>
            </w:r>
          </w:p>
        </w:tc>
      </w:tr>
      <w:tr>
        <w:trPr>
          <w:trHeight w:val="203" w:hRule="atLeast"/>
        </w:trPr>
        <w:tc>
          <w:tcPr>
            <w:tcW w:w="2968" w:type="dxa"/>
            <w:gridSpan w:val="2"/>
            <w:vMerge w:val="continue"/>
            <w:tcBorders>
              <w:top w:val="nil"/>
              <w:left w:val="nil"/>
              <w:bottom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430" w:type="dxa"/>
            <w:gridSpan w:val="2"/>
            <w:tcBorders/>
            <w:shd w:color="auto" w:fill="FFFFFF" w:themeFill="background1" w:val="clear"/>
          </w:tcPr>
          <w:p>
            <w:pPr>
              <w:pStyle w:val="Normal"/>
              <w:widowControl w:val="false"/>
              <w:tabs>
                <w:tab w:val="clear" w:pos="720"/>
                <w:tab w:val="right" w:pos="9071" w:leader="none"/>
              </w:tabs>
              <w:spacing w:before="0" w:after="0"/>
              <w:ind w:hanging="2" w:right="-2"/>
              <w:jc w:val="center"/>
              <w:textAlignment w:val="baseline"/>
              <w:rPr>
                <w:rFonts w:ascii="Arial" w:hAnsi="Arial" w:eastAsia="SimSun" w:cs="Arial"/>
                <w:b/>
                <w:bCs/>
                <w:color w:val="FF0000"/>
                <w:kern w:val="2"/>
                <w:sz w:val="20"/>
                <w:szCs w:val="20"/>
                <w:lang w:eastAsia="zh-CN" w:bidi="hi-IN"/>
              </w:rPr>
            </w:pPr>
            <w:r>
              <w:rPr>
                <w:rFonts w:eastAsia="SimSun" w:cs="Arial" w:ascii="Arial" w:hAnsi="Arial"/>
                <w:b/>
                <w:bCs/>
                <w:color w:val="FF0000"/>
                <w:kern w:val="2"/>
                <w:sz w:val="20"/>
                <w:szCs w:val="20"/>
                <w:lang w:eastAsia="zh-CN" w:bidi="hi-IN"/>
              </w:rPr>
            </w:r>
          </w:p>
        </w:tc>
        <w:tc>
          <w:tcPr>
            <w:tcW w:w="5956" w:type="dxa"/>
            <w:tcBorders>
              <w:top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16 - SECRETARIA DE POLÍTICA HABITACIONAL</w:t>
            </w:r>
          </w:p>
        </w:tc>
      </w:tr>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r>
      <w:tr>
        <w:trPr/>
        <w:tc>
          <w:tcPr>
            <w:tcW w:w="2977" w:type="dxa"/>
            <w:gridSpan w:val="3"/>
            <w:tcBorders>
              <w:top w:val="nil"/>
              <w:left w:val="nil"/>
              <w:bottom w:val="nil"/>
              <w:right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3. Equipe de Planejamento da  Contratação:</w:t>
            </w:r>
          </w:p>
        </w:tc>
        <w:tc>
          <w:tcPr>
            <w:tcW w:w="6377" w:type="dxa"/>
            <w:gridSpan w:val="2"/>
            <w:tcBorders>
              <w:top w:val="nil"/>
              <w:left w:val="nil"/>
              <w:bottom w:val="nil"/>
              <w:right w:val="nil"/>
            </w:tcBorders>
            <w:shd w:color="auto" w:fill="FFFFFF" w:themeFill="background1" w:val="clear"/>
          </w:tcPr>
          <w:p>
            <w:pPr>
              <w:pStyle w:val="Normal"/>
              <w:widowControl w:val="false"/>
              <w:tabs>
                <w:tab w:val="clear" w:pos="720"/>
                <w:tab w:val="right" w:pos="9071" w:leader="none"/>
              </w:tabs>
              <w:spacing w:before="0" w:after="0"/>
              <w:ind w:hanging="2" w:right="-2"/>
              <w:jc w:val="both"/>
              <w:textAlignment w:val="baseline"/>
              <w:rPr>
                <w:rFonts w:ascii="Arial" w:hAnsi="Arial" w:eastAsia="SimSun" w:cs="Arial"/>
                <w:kern w:val="2"/>
                <w:sz w:val="20"/>
                <w:szCs w:val="20"/>
                <w:lang w:eastAsia="zh-CN" w:bidi="hi-IN"/>
              </w:rPr>
            </w:pPr>
            <w:r>
              <w:rPr>
                <w:rFonts w:eastAsia="SimSun" w:cs="Arial" w:ascii="Arial" w:hAnsi="Arial"/>
                <w:kern w:val="2"/>
                <w:sz w:val="20"/>
                <w:szCs w:val="20"/>
                <w:lang w:val="pt-BR" w:eastAsia="zh-CN" w:bidi="hi-IN"/>
              </w:rPr>
              <w:t>Patrícia Pedroso de Oliveira – Secretária de Planejamento</w:t>
            </w:r>
          </w:p>
          <w:p>
            <w:pPr>
              <w:pStyle w:val="Normal"/>
              <w:widowControl w:val="false"/>
              <w:tabs>
                <w:tab w:val="clear" w:pos="720"/>
                <w:tab w:val="right" w:pos="9071" w:leader="none"/>
              </w:tabs>
              <w:spacing w:before="0" w:after="0"/>
              <w:ind w:hanging="2" w:right="-2"/>
              <w:jc w:val="both"/>
              <w:textAlignment w:val="baseline"/>
              <w:rPr>
                <w:rFonts w:ascii="Arial" w:hAnsi="Arial" w:eastAsia="SimSun" w:cs="Arial"/>
                <w:kern w:val="2"/>
                <w:sz w:val="20"/>
                <w:szCs w:val="20"/>
                <w:lang w:eastAsia="zh-CN" w:bidi="hi-IN"/>
              </w:rPr>
            </w:pPr>
            <w:r>
              <w:rPr>
                <w:rFonts w:eastAsia="SimSun" w:cs="Arial" w:ascii="Arial" w:hAnsi="Arial"/>
                <w:kern w:val="2"/>
                <w:sz w:val="20"/>
                <w:szCs w:val="20"/>
                <w:lang w:val="pt-BR" w:eastAsia="zh-CN" w:bidi="hi-IN"/>
              </w:rPr>
              <w:t>Rosicleide Inforzato – Diretora de Planejamento</w:t>
            </w:r>
          </w:p>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Times New Roman" w:cs="Arial" w:ascii="Arial" w:hAnsi="Arial"/>
                <w:kern w:val="0"/>
                <w:sz w:val="20"/>
                <w:szCs w:val="20"/>
                <w:lang w:val="pt-BR" w:eastAsia="pt-BR" w:bidi="ar-SA"/>
              </w:rPr>
              <w:t xml:space="preserve">Camila Dias Ramalho Matta- </w:t>
            </w:r>
            <w:r>
              <w:rPr>
                <w:rFonts w:eastAsia="SimSun" w:cs="Arial" w:ascii="Arial" w:hAnsi="Arial"/>
                <w:kern w:val="2"/>
                <w:sz w:val="20"/>
                <w:szCs w:val="20"/>
                <w:lang w:val="pt-BR" w:eastAsia="zh-CN" w:bidi="hi-IN"/>
              </w:rPr>
              <w:t>Secretária Da Agricultura e Pecuária</w:t>
            </w:r>
          </w:p>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eastAsia="SimSun" w:cs="Arial" w:ascii="Arial" w:hAnsi="Arial"/>
                <w:kern w:val="2"/>
                <w:sz w:val="20"/>
                <w:szCs w:val="20"/>
                <w:lang w:val="pt-BR" w:eastAsia="zh-CN" w:bidi="hi-IN"/>
              </w:rPr>
              <w:t>Renato Reis Duarte – Fiscal</w:t>
            </w:r>
          </w:p>
          <w:p>
            <w:pPr>
              <w:pStyle w:val="Normal"/>
              <w:widowControl w:val="false"/>
              <w:tabs>
                <w:tab w:val="clear" w:pos="720"/>
                <w:tab w:val="right" w:pos="9071" w:leader="none"/>
              </w:tabs>
              <w:spacing w:before="0" w:after="0"/>
              <w:ind w:hanging="2" w:right="-2"/>
              <w:jc w:val="both"/>
              <w:textAlignment w:val="baseline"/>
              <w:rPr>
                <w:rFonts w:ascii="Arial" w:hAnsi="Arial" w:cs="Arial"/>
                <w:sz w:val="20"/>
                <w:szCs w:val="20"/>
              </w:rPr>
            </w:pPr>
            <w:r>
              <w:rPr>
                <w:rFonts w:cs="Arial" w:ascii="Arial" w:hAnsi="Arial"/>
                <w:sz w:val="20"/>
                <w:szCs w:val="20"/>
              </w:rPr>
            </w:r>
          </w:p>
          <w:p>
            <w:pPr>
              <w:pStyle w:val="Normal"/>
              <w:widowControl w:val="false"/>
              <w:tabs>
                <w:tab w:val="clear" w:pos="720"/>
                <w:tab w:val="right" w:pos="9071" w:leader="none"/>
              </w:tabs>
              <w:spacing w:before="0" w:after="0"/>
              <w:ind w:hanging="2" w:right="-2"/>
              <w:jc w:val="both"/>
              <w:textAlignment w:val="baseline"/>
              <w:rPr>
                <w:rFonts w:ascii="Arial" w:hAnsi="Arial" w:eastAsia="SimSun" w:cs="Arial"/>
                <w:kern w:val="2"/>
                <w:sz w:val="20"/>
                <w:szCs w:val="20"/>
                <w:lang w:eastAsia="zh-CN" w:bidi="hi-IN"/>
              </w:rPr>
            </w:pPr>
            <w:r>
              <w:rPr>
                <w:rFonts w:eastAsia="SimSun" w:cs="Arial" w:ascii="Arial" w:hAnsi="Arial"/>
                <w:kern w:val="2"/>
                <w:sz w:val="20"/>
                <w:szCs w:val="20"/>
                <w:lang w:eastAsia="zh-CN" w:bidi="hi-IN"/>
              </w:rPr>
            </w:r>
          </w:p>
        </w:tc>
      </w:tr>
      <w:tr>
        <w:trPr/>
        <w:tc>
          <w:tcPr>
            <w:tcW w:w="9354" w:type="dxa"/>
            <w:gridSpan w:val="5"/>
            <w:tcBorders>
              <w:top w:val="nil"/>
              <w:left w:val="nil"/>
              <w:bottom w:val="nil"/>
              <w:right w:val="nil"/>
            </w:tcBorders>
            <w:shd w:color="auto" w:fill="FFFFFF" w:themeFill="background1"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r>
      <w:tr>
        <w:trPr/>
        <w:tc>
          <w:tcPr>
            <w:tcW w:w="1267" w:type="dxa"/>
            <w:tcBorders>
              <w:top w:val="nil"/>
              <w:left w:val="nil"/>
              <w:bottom w:val="nil"/>
              <w:right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4. Objeto:</w:t>
            </w:r>
          </w:p>
        </w:tc>
        <w:tc>
          <w:tcPr>
            <w:tcW w:w="8087" w:type="dxa"/>
            <w:gridSpan w:val="4"/>
            <w:tcBorders>
              <w:top w:val="nil"/>
              <w:left w:val="nil"/>
              <w:bottom w:val="nil"/>
              <w:right w:val="nil"/>
            </w:tcBorders>
            <w:shd w:color="auto" w:fill="FFFFFF" w:themeFill="background1" w:val="clear"/>
          </w:tcPr>
          <w:p>
            <w:pPr>
              <w:pStyle w:val="ListParagraph"/>
              <w:ind w:hanging="0" w:left="0"/>
              <w:jc w:val="both"/>
              <w:rPr>
                <w:sz w:val="22"/>
                <w:szCs w:val="22"/>
              </w:rPr>
            </w:pPr>
            <w:r>
              <w:rPr>
                <w:rFonts w:cs="Arial" w:ascii="Arial" w:hAnsi="Arial"/>
                <w:sz w:val="22"/>
                <w:szCs w:val="22"/>
              </w:rPr>
              <w:t>AQUISIÇÃO DE 01 (UM) T</w:t>
            </w:r>
            <w:r>
              <w:rPr>
                <w:rFonts w:cs="Arial" w:ascii="Arial" w:hAnsi="Arial"/>
                <w:b w:val="false"/>
                <w:bCs w:val="false"/>
                <w:sz w:val="22"/>
                <w:szCs w:val="22"/>
              </w:rPr>
              <w:t xml:space="preserve">RATOR, </w:t>
            </w:r>
            <w:r>
              <w:rPr>
                <w:rFonts w:cs="Arial" w:ascii="Arial" w:hAnsi="Arial"/>
                <w:b w:val="false"/>
                <w:bCs w:val="false"/>
                <w:sz w:val="22"/>
                <w:szCs w:val="22"/>
              </w:rPr>
              <w:t xml:space="preserve">objeto do </w:t>
            </w:r>
            <w:r>
              <w:rPr>
                <w:rFonts w:cs="Arial" w:ascii="Arial" w:hAnsi="Arial"/>
                <w:b w:val="false"/>
                <w:bCs w:val="false"/>
                <w:sz w:val="24"/>
                <w:szCs w:val="24"/>
              </w:rPr>
              <w:t>convênio nº 956766/2024 - Proposta 7313/2024,  na Plataforma Transferegov</w:t>
            </w:r>
          </w:p>
        </w:tc>
      </w:tr>
      <w:tr>
        <w:trPr/>
        <w:tc>
          <w:tcPr>
            <w:tcW w:w="1267" w:type="dxa"/>
            <w:tcBorders>
              <w:top w:val="nil"/>
              <w:left w:val="nil"/>
              <w:bottom w:val="nil"/>
              <w:right w:val="nil"/>
            </w:tcBorders>
            <w:shd w:color="auto" w:fill="auto" w:val="clear"/>
          </w:tcPr>
          <w:p>
            <w:pPr>
              <w:pStyle w:val="Normal"/>
              <w:widowControl/>
              <w:spacing w:lineRule="auto" w:line="276" w:before="0" w:after="0"/>
              <w:ind w:hanging="2" w:right="-2"/>
              <w:jc w:val="both"/>
              <w:rPr>
                <w:rFonts w:ascii="Arial" w:hAnsi="Arial" w:eastAsia="SimSun" w:cs="Arial"/>
                <w:b/>
                <w:bCs/>
                <w:kern w:val="2"/>
                <w:sz w:val="20"/>
                <w:szCs w:val="20"/>
                <w:lang w:eastAsia="zh-CN" w:bidi="hi-IN"/>
              </w:rPr>
            </w:pPr>
            <w:r>
              <w:rPr>
                <w:rFonts w:eastAsia="SimSun" w:cs="Arial" w:ascii="Arial" w:hAnsi="Arial"/>
                <w:b/>
                <w:bCs/>
                <w:kern w:val="2"/>
                <w:sz w:val="20"/>
                <w:szCs w:val="20"/>
                <w:lang w:eastAsia="zh-CN" w:bidi="hi-IN"/>
              </w:rPr>
            </w:r>
          </w:p>
        </w:tc>
        <w:tc>
          <w:tcPr>
            <w:tcW w:w="8087" w:type="dxa"/>
            <w:gridSpan w:val="4"/>
            <w:tcBorders>
              <w:top w:val="nil"/>
              <w:left w:val="nil"/>
              <w:bottom w:val="nil"/>
              <w:right w:val="nil"/>
            </w:tcBorders>
            <w:shd w:color="auto" w:fill="FFFFFF" w:themeFill="background1" w:val="clear"/>
          </w:tcPr>
          <w:p>
            <w:pPr>
              <w:pStyle w:val="Normal"/>
              <w:widowControl/>
              <w:spacing w:before="0" w:after="0"/>
              <w:ind w:hanging="2" w:right="-2"/>
              <w:jc w:val="both"/>
              <w:rPr>
                <w:rFonts w:ascii="Arial" w:hAnsi="Arial" w:cs="Arial"/>
                <w:sz w:val="20"/>
                <w:szCs w:val="20"/>
              </w:rPr>
            </w:pPr>
            <w:r>
              <w:rPr>
                <w:rFonts w:cs="Arial" w:ascii="Arial" w:hAnsi="Arial"/>
                <w:sz w:val="20"/>
                <w:szCs w:val="20"/>
              </w:rPr>
            </w:r>
          </w:p>
        </w:tc>
      </w:tr>
      <w:tr>
        <w:trPr>
          <w:trHeight w:val="192" w:hRule="atLeast"/>
        </w:trPr>
        <w:tc>
          <w:tcPr>
            <w:tcW w:w="1267" w:type="dxa"/>
            <w:tcBorders>
              <w:top w:val="nil"/>
              <w:left w:val="nil"/>
              <w:bottom w:val="nil"/>
              <w:right w:val="nil"/>
            </w:tcBorders>
            <w:shd w:color="auto" w:fill="DBE5F1" w:themeFill="accent1" w:themeFillTint="33" w:val="clear"/>
          </w:tcPr>
          <w:p>
            <w:pPr>
              <w:pStyle w:val="Normal"/>
              <w:widowControl/>
              <w:spacing w:lineRule="auto" w:line="276" w:before="0" w:after="0"/>
              <w:ind w:hanging="2" w:right="-2"/>
              <w:jc w:val="both"/>
              <w:rPr>
                <w:rFonts w:ascii="Arial" w:hAnsi="Arial" w:cs="Arial"/>
                <w:sz w:val="20"/>
                <w:szCs w:val="20"/>
              </w:rPr>
            </w:pPr>
            <w:r>
              <w:rPr>
                <w:rFonts w:eastAsia="SimSun" w:cs="Arial" w:ascii="Arial" w:hAnsi="Arial"/>
                <w:b/>
                <w:bCs/>
                <w:kern w:val="2"/>
                <w:sz w:val="20"/>
                <w:szCs w:val="20"/>
                <w:lang w:val="pt-BR" w:eastAsia="zh-CN" w:bidi="hi-IN"/>
              </w:rPr>
              <w:t>5. Local</w:t>
            </w:r>
          </w:p>
        </w:tc>
        <w:tc>
          <w:tcPr>
            <w:tcW w:w="8087" w:type="dxa"/>
            <w:gridSpan w:val="4"/>
            <w:tcBorders>
              <w:top w:val="nil"/>
              <w:left w:val="nil"/>
              <w:bottom w:val="nil"/>
              <w:right w:val="nil"/>
            </w:tcBorders>
            <w:shd w:color="auto" w:fill="FFFFFF" w:themeFill="background1" w:val="clear"/>
          </w:tcPr>
          <w:p>
            <w:pPr>
              <w:pStyle w:val="Normal"/>
              <w:widowControl/>
              <w:spacing w:before="0" w:after="0"/>
              <w:ind w:right="-2"/>
              <w:jc w:val="both"/>
              <w:rPr>
                <w:rFonts w:ascii="Arial" w:hAnsi="Arial" w:cs="Arial"/>
                <w:sz w:val="20"/>
                <w:szCs w:val="20"/>
              </w:rPr>
            </w:pPr>
            <w:r>
              <w:rPr>
                <w:rFonts w:eastAsia="Times New Roman" w:cs="Arial" w:ascii="Arial" w:hAnsi="Arial"/>
                <w:kern w:val="0"/>
                <w:sz w:val="20"/>
                <w:szCs w:val="20"/>
                <w:lang w:val="pt-BR" w:eastAsia="pt-BR" w:bidi="ar-SA"/>
              </w:rPr>
              <w:t>Diversos</w:t>
            </w:r>
          </w:p>
          <w:p>
            <w:pPr>
              <w:pStyle w:val="Normal"/>
              <w:widowControl/>
              <w:spacing w:before="0" w:after="0"/>
              <w:ind w:right="-2"/>
              <w:jc w:val="both"/>
              <w:rPr>
                <w:rFonts w:ascii="Arial" w:hAnsi="Arial" w:cs="Arial"/>
                <w:sz w:val="20"/>
                <w:szCs w:val="20"/>
              </w:rPr>
            </w:pPr>
            <w:r>
              <w:rPr>
                <w:rFonts w:eastAsia="Times New Roman" w:cs="Arial" w:ascii="Arial" w:hAnsi="Arial"/>
                <w:kern w:val="0"/>
                <w:sz w:val="20"/>
                <w:szCs w:val="20"/>
                <w:lang w:val="pt-BR" w:eastAsia="pt-BR" w:bidi="ar-SA"/>
              </w:rPr>
              <w:t>FISCAL DO CONTRATO PORTARIA NRº 2074/2025</w:t>
            </w:r>
          </w:p>
        </w:tc>
      </w:tr>
      <w:tr>
        <w:trPr/>
        <w:tc>
          <w:tcPr>
            <w:tcW w:w="2977" w:type="dxa"/>
            <w:gridSpan w:val="3"/>
            <w:tcBorders>
              <w:top w:val="nil"/>
              <w:left w:val="nil"/>
              <w:bottom w:val="single" w:sz="12" w:space="0" w:color="000000"/>
              <w:right w:val="nil"/>
            </w:tcBorders>
            <w:shd w:color="auto" w:fill="FFFFFF" w:themeFill="background1" w:val="clear"/>
          </w:tcPr>
          <w:p>
            <w:pPr>
              <w:pStyle w:val="Normal"/>
              <w:widowControl/>
              <w:spacing w:lineRule="auto" w:line="276" w:before="0" w:after="0"/>
              <w:ind w:hanging="2" w:right="-2"/>
              <w:jc w:val="both"/>
              <w:rPr>
                <w:rFonts w:ascii="Arial" w:hAnsi="Arial" w:cs="Arial"/>
                <w:sz w:val="22"/>
                <w:szCs w:val="22"/>
              </w:rPr>
            </w:pPr>
            <w:r>
              <w:rPr>
                <w:rFonts w:cs="Arial" w:ascii="Arial" w:hAnsi="Arial"/>
                <w:sz w:val="22"/>
                <w:szCs w:val="22"/>
              </w:rPr>
            </w:r>
          </w:p>
        </w:tc>
        <w:tc>
          <w:tcPr>
            <w:tcW w:w="6377" w:type="dxa"/>
            <w:gridSpan w:val="2"/>
            <w:tcBorders>
              <w:top w:val="nil"/>
              <w:left w:val="nil"/>
              <w:bottom w:val="single" w:sz="12" w:space="0" w:color="000000"/>
              <w:right w:val="nil"/>
            </w:tcBorders>
            <w:shd w:color="auto" w:fill="FFFFFF" w:themeFill="background1" w:val="clear"/>
          </w:tcPr>
          <w:p>
            <w:pPr>
              <w:pStyle w:val="Normal"/>
              <w:widowControl/>
              <w:spacing w:lineRule="auto" w:line="276" w:before="0" w:after="0"/>
              <w:ind w:hanging="2" w:right="-2"/>
              <w:jc w:val="both"/>
              <w:rPr>
                <w:rFonts w:ascii="Arial" w:hAnsi="Arial" w:cs="Arial"/>
                <w:sz w:val="22"/>
                <w:szCs w:val="22"/>
              </w:rPr>
            </w:pPr>
            <w:r>
              <w:rPr>
                <w:rFonts w:cs="Arial" w:ascii="Arial" w:hAnsi="Arial"/>
                <w:sz w:val="22"/>
                <w:szCs w:val="22"/>
              </w:rPr>
            </w:r>
          </w:p>
        </w:tc>
      </w:tr>
      <w:tr>
        <w:trPr/>
        <w:tc>
          <w:tcPr>
            <w:tcW w:w="9354" w:type="dxa"/>
            <w:gridSpan w:val="5"/>
            <w:tcBorders>
              <w:top w:val="nil"/>
              <w:left w:val="single" w:sz="12" w:space="0" w:color="000000"/>
              <w:bottom w:val="single" w:sz="12" w:space="0" w:color="000000"/>
              <w:right w:val="single" w:sz="12" w:space="0" w:color="000000"/>
            </w:tcBorders>
            <w:shd w:color="auto" w:fill="365F91" w:themeFill="accent1" w:themeFillShade="bf" w:val="clear"/>
          </w:tcPr>
          <w:p>
            <w:pPr>
              <w:pStyle w:val="Normal"/>
              <w:widowControl/>
              <w:spacing w:lineRule="auto" w:line="276" w:before="0" w:after="0"/>
              <w:ind w:hanging="2" w:right="-2"/>
              <w:jc w:val="both"/>
              <w:rPr>
                <w:rFonts w:ascii="Arial" w:hAnsi="Arial" w:cs="Arial"/>
                <w:sz w:val="22"/>
                <w:szCs w:val="22"/>
              </w:rPr>
            </w:pPr>
            <w:r>
              <w:rPr>
                <w:rFonts w:eastAsia="Times New Roman" w:cs="Arial" w:ascii="Arial" w:hAnsi="Arial"/>
                <w:b/>
                <w:bCs/>
                <w:color w:themeColor="background1" w:val="FFFFFF"/>
                <w:kern w:val="0"/>
                <w:sz w:val="22"/>
                <w:szCs w:val="22"/>
                <w:lang w:val="pt-BR" w:eastAsia="pt-BR" w:bidi="ar-SA"/>
              </w:rPr>
              <w:t>II - Diagnóstico da Situação Atual:</w:t>
            </w:r>
          </w:p>
        </w:tc>
      </w:tr>
      <w:tr>
        <w:trPr/>
        <w:tc>
          <w:tcPr>
            <w:tcW w:w="9354" w:type="dxa"/>
            <w:gridSpan w:val="5"/>
            <w:tcBorders>
              <w:top w:val="single" w:sz="12" w:space="0" w:color="000000"/>
              <w:left w:val="nil"/>
              <w:bottom w:val="single" w:sz="12" w:space="0" w:color="000000"/>
              <w:right w:val="nil"/>
            </w:tcBorders>
            <w:shd w:color="auto" w:fill="FFFFFF" w:themeFill="background1" w:val="clear"/>
          </w:tcPr>
          <w:p>
            <w:pPr>
              <w:pStyle w:val="Normal"/>
              <w:widowControl/>
              <w:spacing w:lineRule="auto" w:line="276" w:before="0" w:after="0"/>
              <w:ind w:hanging="2" w:right="-2"/>
              <w:jc w:val="both"/>
              <w:rPr>
                <w:rFonts w:ascii="Arial" w:hAnsi="Arial" w:cs="Arial"/>
                <w:b/>
                <w:bCs/>
                <w:color w:themeColor="background1" w:val="FFFFFF"/>
                <w:sz w:val="22"/>
                <w:szCs w:val="22"/>
              </w:rPr>
            </w:pPr>
            <w:r>
              <w:rPr>
                <w:rFonts w:cs="Arial" w:ascii="Arial" w:hAnsi="Arial"/>
                <w:b/>
                <w:bCs/>
                <w:color w:themeColor="background1" w:val="FFFFFF"/>
                <w:sz w:val="22"/>
                <w:szCs w:val="22"/>
              </w:rPr>
            </w:r>
          </w:p>
        </w:tc>
      </w:tr>
      <w:tr>
        <w:trPr>
          <w:trHeight w:val="590" w:hRule="atLeast"/>
        </w:trPr>
        <w:tc>
          <w:tcPr>
            <w:tcW w:w="9354" w:type="dxa"/>
            <w:gridSpan w:val="5"/>
            <w:tcBorders>
              <w:top w:val="single" w:sz="12" w:space="0" w:color="000000"/>
              <w:left w:val="single" w:sz="12" w:space="0" w:color="000000"/>
              <w:bottom w:val="single" w:sz="12" w:space="0" w:color="000000"/>
              <w:right w:val="single" w:sz="12" w:space="0" w:color="000000"/>
            </w:tcBorders>
            <w:shd w:color="auto" w:fill="C6D9F1" w:themeFill="text2" w:themeFillTint="33" w:val="clear"/>
          </w:tcPr>
          <w:p>
            <w:pPr>
              <w:pStyle w:val="ListParagraph"/>
              <w:widowControl/>
              <w:numPr>
                <w:ilvl w:val="0"/>
                <w:numId w:val="1"/>
              </w:numPr>
              <w:tabs>
                <w:tab w:val="clear" w:pos="720"/>
                <w:tab w:val="left" w:pos="238" w:leader="none"/>
                <w:tab w:val="left" w:pos="567" w:leader="none"/>
              </w:tabs>
              <w:spacing w:before="0" w:after="0"/>
              <w:ind w:hanging="2" w:left="0" w:right="-2"/>
              <w:contextualSpacing/>
              <w:jc w:val="both"/>
              <w:rPr>
                <w:rFonts w:ascii="Arial" w:hAnsi="Arial" w:cs="Arial"/>
                <w:sz w:val="22"/>
                <w:szCs w:val="22"/>
              </w:rPr>
            </w:pPr>
            <w:r>
              <w:rPr>
                <w:rFonts w:eastAsia="Times New Roman" w:cs="Arial" w:ascii="Arial" w:hAnsi="Arial"/>
                <w:b/>
                <w:kern w:val="0"/>
                <w:sz w:val="22"/>
                <w:szCs w:val="22"/>
                <w:lang w:val="pt-BR" w:eastAsia="pt-BR" w:bidi="ar-SA"/>
              </w:rPr>
              <w:t>Descrição do problema a ser resolvido ou da necessidade apresentada (artigo 15, caput, §1º do Decreto nº 3.537/2023):</w:t>
            </w:r>
          </w:p>
        </w:tc>
      </w:tr>
    </w:tbl>
    <w:p>
      <w:pPr>
        <w:pStyle w:val="Normal"/>
        <w:widowControl w:val="false"/>
        <w:tabs>
          <w:tab w:val="clear" w:pos="720"/>
          <w:tab w:val="right" w:pos="9071" w:leader="none"/>
        </w:tabs>
        <w:ind w:right="-2"/>
        <w:jc w:val="both"/>
        <w:textAlignment w:val="baseline"/>
        <w:rPr>
          <w:rFonts w:ascii="Arial" w:hAnsi="Arial" w:cs="Arial"/>
          <w:sz w:val="22"/>
          <w:szCs w:val="22"/>
        </w:rPr>
      </w:pPr>
      <w:r>
        <w:rPr>
          <w:rFonts w:cs="Arial" w:ascii="Arial" w:hAnsi="Arial"/>
          <w:sz w:val="22"/>
          <w:szCs w:val="22"/>
        </w:rPr>
        <w:tab/>
      </w:r>
      <w:bookmarkStart w:id="0" w:name="_Hlk178578991"/>
      <w:bookmarkEnd w:id="0"/>
    </w:p>
    <w:p>
      <w:pPr>
        <w:pStyle w:val="Normal"/>
        <w:tabs>
          <w:tab w:val="clear" w:pos="720"/>
          <w:tab w:val="left" w:pos="567" w:leader="none"/>
        </w:tabs>
        <w:ind w:hanging="0" w:left="-2"/>
        <w:jc w:val="both"/>
        <w:rPr>
          <w:sz w:val="22"/>
          <w:szCs w:val="22"/>
        </w:rPr>
      </w:pPr>
      <w:r>
        <w:rPr>
          <w:sz w:val="24"/>
          <w:szCs w:val="24"/>
        </w:rPr>
        <w:t xml:space="preserve">Para o presente caso, a EQUIPE DE PLANEJAMENTO tomou como base referencial o Documento de Formalização da Demanda (DFD) elaborado pela área requisitante, para instruir o </w:t>
      </w:r>
      <w:r>
        <w:rPr>
          <w:b/>
          <w:bCs/>
          <w:sz w:val="24"/>
          <w:szCs w:val="24"/>
        </w:rPr>
        <w:t>convênio nº 956766/2024- Proposta 7313/2024, na Plataforma Transferegov</w:t>
      </w:r>
      <w:r>
        <w:rPr>
          <w:sz w:val="24"/>
          <w:szCs w:val="24"/>
        </w:rPr>
        <w:t xml:space="preserve">, firmado entre a Prefeitura Municipal de Bandeirantes-Pr e o Ministério da Agricultura e Pecuária. </w:t>
      </w:r>
    </w:p>
    <w:p>
      <w:pPr>
        <w:pStyle w:val="Normal"/>
        <w:widowControl/>
        <w:tabs>
          <w:tab w:val="clear" w:pos="720"/>
          <w:tab w:val="left" w:pos="567" w:leader="none"/>
        </w:tabs>
        <w:suppressAutoHyphens w:val="true"/>
        <w:bidi w:val="0"/>
        <w:spacing w:lineRule="auto" w:line="276" w:before="0" w:after="0"/>
        <w:ind w:firstLine="567" w:left="0" w:right="0"/>
        <w:jc w:val="both"/>
        <w:textAlignment w:val="top"/>
        <w:rPr>
          <w:sz w:val="24"/>
          <w:szCs w:val="24"/>
        </w:rPr>
      </w:pPr>
      <w:r>
        <w:rPr>
          <w:sz w:val="24"/>
          <w:szCs w:val="24"/>
        </w:rPr>
        <w:t xml:space="preserve">De acordo com a descrição realizada no termo de convênio, na plataforma transferegov, o problema a ser resolvido com a aquisição do equipamento é </w:t>
      </w:r>
      <w:r>
        <w:rPr>
          <w:rFonts w:eastAsia="Merriweather"/>
          <w:sz w:val="24"/>
          <w:szCs w:val="24"/>
        </w:rPr>
        <w:t>atender pequenos e médios produtores rurais deste Município que necessitam de máquinas e implementos agrícolas, para que possam realizar as</w:t>
      </w:r>
      <w:r>
        <w:rPr>
          <w:sz w:val="24"/>
          <w:szCs w:val="24"/>
        </w:rPr>
        <w:t xml:space="preserve"> atividades em suas propriedades rurais, principalmente cultivo de alfafa, e que não dispõe de maquinários, sendo que estes indispensáveis para a realização das atividades rurais.</w:t>
      </w:r>
    </w:p>
    <w:p>
      <w:pPr>
        <w:pStyle w:val="Normal"/>
        <w:widowControl/>
        <w:tabs>
          <w:tab w:val="clear" w:pos="720"/>
          <w:tab w:val="left" w:pos="567" w:leader="none"/>
        </w:tabs>
        <w:suppressAutoHyphens w:val="true"/>
        <w:bidi w:val="0"/>
        <w:spacing w:lineRule="auto" w:line="276" w:before="0" w:after="0"/>
        <w:ind w:firstLine="567" w:left="0" w:right="0"/>
        <w:jc w:val="both"/>
        <w:textAlignment w:val="top"/>
        <w:rPr>
          <w:sz w:val="24"/>
          <w:szCs w:val="24"/>
        </w:rPr>
      </w:pPr>
      <w:r>
        <w:rPr>
          <w:sz w:val="24"/>
          <w:szCs w:val="24"/>
        </w:rPr>
        <w:t xml:space="preserve">A aquisição deste equipamento (Trator), resolverá os problemas dos agricultores do campo, quanto a falta de equipamentos, fomentando suas atividades rurais, fortalecendo a execução dos serviços. </w:t>
      </w:r>
    </w:p>
    <w:p>
      <w:pPr>
        <w:pStyle w:val="Normal"/>
        <w:widowControl/>
        <w:tabs>
          <w:tab w:val="clear" w:pos="720"/>
          <w:tab w:val="left" w:pos="567" w:leader="none"/>
        </w:tabs>
        <w:suppressAutoHyphens w:val="true"/>
        <w:bidi w:val="0"/>
        <w:spacing w:lineRule="atLeast" w:line="1" w:before="0" w:after="0"/>
        <w:ind w:firstLine="567" w:left="0" w:right="0"/>
        <w:jc w:val="both"/>
        <w:textAlignment w:val="top"/>
        <w:rPr>
          <w:sz w:val="24"/>
          <w:szCs w:val="24"/>
        </w:rPr>
      </w:pPr>
      <w:r>
        <w:rPr>
          <w:rFonts w:eastAsia="Merriweather"/>
          <w:sz w:val="24"/>
          <w:szCs w:val="24"/>
        </w:rPr>
        <w:t>O</w:t>
      </w:r>
      <w:r>
        <w:rPr>
          <w:sz w:val="24"/>
          <w:szCs w:val="24"/>
        </w:rPr>
        <w:t>bjetiva ainda a</w:t>
      </w:r>
      <w:r>
        <w:rPr>
          <w:rFonts w:eastAsia="Merriweather"/>
          <w:sz w:val="24"/>
          <w:szCs w:val="24"/>
        </w:rPr>
        <w:t xml:space="preserve"> otimização destes produtores rurais para a redução dos custos de produção, aumentando desta forma a produção, com a </w:t>
      </w:r>
      <w:r>
        <w:rPr>
          <w:sz w:val="24"/>
          <w:szCs w:val="24"/>
        </w:rPr>
        <w:t xml:space="preserve">garantia do atendimento aos calendários de plantio, tratos culturais e colheita. Através da redução </w:t>
      </w:r>
      <w:r>
        <w:rPr>
          <w:rFonts w:eastAsia="Merriweather"/>
          <w:sz w:val="24"/>
          <w:szCs w:val="24"/>
        </w:rPr>
        <w:t>no custo de produção e a geração do aumento da produção rural, obtêm-se um complemento d</w:t>
      </w:r>
      <w:r>
        <w:rPr>
          <w:sz w:val="24"/>
          <w:szCs w:val="24"/>
        </w:rPr>
        <w:t>a renda familiar dos agricultores, gerando desta forma maior renda aos mesmos, melhorando a qualidade de vida dos agricultores rurais, assegurando assim a permanência deles no campo, com maior dignidade.</w:t>
      </w:r>
    </w:p>
    <w:p>
      <w:pPr>
        <w:pStyle w:val="Normal"/>
        <w:widowControl/>
        <w:tabs>
          <w:tab w:val="clear" w:pos="720"/>
          <w:tab w:val="left" w:pos="567" w:leader="none"/>
        </w:tabs>
        <w:suppressAutoHyphens w:val="true"/>
        <w:bidi w:val="0"/>
        <w:spacing w:lineRule="auto" w:line="276" w:before="0" w:after="0"/>
        <w:ind w:firstLine="567" w:left="0" w:right="0"/>
        <w:jc w:val="both"/>
        <w:textAlignment w:val="top"/>
        <w:rPr>
          <w:sz w:val="24"/>
          <w:szCs w:val="24"/>
        </w:rPr>
      </w:pPr>
      <w:r>
        <w:rPr>
          <w:sz w:val="24"/>
          <w:szCs w:val="24"/>
        </w:rPr>
      </w:r>
    </w:p>
    <w:tbl>
      <w:tblPr>
        <w:tblStyle w:val="Tabelacomgrade"/>
        <w:tblW w:w="938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96"/>
        <w:gridCol w:w="2730"/>
        <w:gridCol w:w="267"/>
        <w:gridCol w:w="1993"/>
        <w:gridCol w:w="428"/>
        <w:gridCol w:w="80"/>
        <w:gridCol w:w="362"/>
        <w:gridCol w:w="3128"/>
      </w:tblGrid>
      <w:tr>
        <w:trPr/>
        <w:tc>
          <w:tcPr>
            <w:tcW w:w="9384" w:type="dxa"/>
            <w:gridSpan w:val="8"/>
            <w:tcBorders/>
            <w:shd w:color="auto" w:fill="C6D9F1" w:themeFill="text2" w:themeFillTint="33" w:val="clear"/>
          </w:tcPr>
          <w:p>
            <w:pPr>
              <w:pStyle w:val="Normal"/>
              <w:widowControl/>
              <w:spacing w:before="0" w:after="0"/>
              <w:ind w:right="-2"/>
              <w:jc w:val="both"/>
              <w:rPr>
                <w:rFonts w:ascii="Arial" w:hAnsi="Arial" w:cs="Arial"/>
                <w:b/>
                <w:bCs/>
                <w:sz w:val="22"/>
                <w:szCs w:val="22"/>
              </w:rPr>
            </w:pPr>
            <w:r>
              <w:rPr>
                <w:rFonts w:eastAsia="Times New Roman" w:cs="Arial" w:ascii="Arial" w:hAnsi="Arial"/>
                <w:b/>
                <w:bCs/>
                <w:kern w:val="0"/>
                <w:sz w:val="22"/>
                <w:szCs w:val="22"/>
                <w:lang w:val="pt-BR" w:eastAsia="pt-BR" w:bidi="ar-SA"/>
              </w:rPr>
              <w:t>2. Alinhamento entre a contratação e o planejamento da Administração (artigo 15, §1º, II, do Decreto nº 3.537/2023):</w:t>
            </w:r>
          </w:p>
        </w:tc>
      </w:tr>
      <w:tr>
        <w:trPr/>
        <w:tc>
          <w:tcPr>
            <w:tcW w:w="9384" w:type="dxa"/>
            <w:gridSpan w:val="8"/>
            <w:tcBorders>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382" w:hRule="atLeast"/>
        </w:trPr>
        <w:tc>
          <w:tcPr>
            <w:tcW w:w="396" w:type="dxa"/>
            <w:tcBorders/>
          </w:tcPr>
          <w:p>
            <w:pPr>
              <w:pStyle w:val="Normal"/>
              <w:widowControl/>
              <w:spacing w:before="0" w:after="0"/>
              <w:ind w:right="-2"/>
              <w:jc w:val="both"/>
              <w:rPr>
                <w:rFonts w:ascii="Arial" w:hAnsi="Arial" w:cs="Arial"/>
                <w:color w:val="FF0000"/>
                <w:sz w:val="22"/>
                <w:szCs w:val="22"/>
              </w:rPr>
            </w:pPr>
            <w:r>
              <w:rPr>
                <w:rFonts w:eastAsia="Times New Roman" w:cs="Arial" w:ascii="Arial" w:hAnsi="Arial"/>
                <w:color w:val="FF0000"/>
                <w:kern w:val="0"/>
                <w:sz w:val="22"/>
                <w:szCs w:val="22"/>
                <w:lang w:val="pt-BR" w:eastAsia="pt-BR" w:bidi="ar-SA"/>
              </w:rPr>
              <w:t>X</w:t>
            </w:r>
          </w:p>
        </w:tc>
        <w:tc>
          <w:tcPr>
            <w:tcW w:w="4990" w:type="dxa"/>
            <w:gridSpan w:val="3"/>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b/>
                <w:bCs/>
                <w:kern w:val="0"/>
                <w:sz w:val="22"/>
                <w:szCs w:val="22"/>
                <w:lang w:val="pt-BR" w:eastAsia="pt-BR" w:bidi="ar-SA"/>
              </w:rPr>
              <w:t>Sim</w:t>
            </w:r>
            <w:r>
              <w:rPr>
                <w:rFonts w:eastAsia="Times New Roman" w:cs="Arial" w:ascii="Arial" w:hAnsi="Arial"/>
                <w:kern w:val="0"/>
                <w:sz w:val="22"/>
                <w:szCs w:val="22"/>
                <w:lang w:val="pt-BR" w:eastAsia="pt-BR" w:bidi="ar-SA"/>
              </w:rPr>
              <w:t xml:space="preserve"> – Especificar Ano: 2025</w:t>
            </w:r>
          </w:p>
        </w:tc>
        <w:tc>
          <w:tcPr>
            <w:tcW w:w="428" w:type="dxa"/>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3570" w:type="dxa"/>
            <w:gridSpan w:val="3"/>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
                <w:bCs/>
                <w:kern w:val="0"/>
                <w:sz w:val="22"/>
                <w:szCs w:val="22"/>
                <w:lang w:val="pt-BR" w:eastAsia="pt-BR" w:bidi="ar-SA"/>
              </w:rPr>
              <w:t>Não</w:t>
            </w:r>
            <w:r>
              <w:rPr>
                <w:rFonts w:eastAsia="Times New Roman" w:cs="Arial" w:ascii="Arial" w:hAnsi="Arial"/>
                <w:kern w:val="0"/>
                <w:sz w:val="22"/>
                <w:szCs w:val="22"/>
                <w:lang w:val="pt-BR" w:eastAsia="pt-BR" w:bidi="ar-SA"/>
              </w:rPr>
              <w:t xml:space="preserve"> – Justificar em item 2.1.</w:t>
            </w:r>
          </w:p>
        </w:tc>
      </w:tr>
      <w:tr>
        <w:trPr>
          <w:trHeight w:val="100" w:hRule="atLeast"/>
        </w:trPr>
        <w:tc>
          <w:tcPr>
            <w:tcW w:w="9384" w:type="dxa"/>
            <w:gridSpan w:val="8"/>
            <w:tcBorders>
              <w:top w:val="nil"/>
              <w:left w:val="nil"/>
              <w:bottom w:val="nil"/>
              <w:right w:val="nil"/>
            </w:tcBorders>
          </w:tcPr>
          <w:p>
            <w:pPr>
              <w:pStyle w:val="Normal"/>
              <w:widowControl/>
              <w:spacing w:lineRule="auto" w:line="276" w:before="0" w:after="0"/>
              <w:ind w:hanging="2" w:left="-119" w:right="-216"/>
              <w:jc w:val="both"/>
              <w:rPr>
                <w:rFonts w:ascii="Times New Roman" w:hAnsi="Times New Roman" w:eastAsia="Merriweather" w:cs="Times New Roman"/>
                <w:kern w:val="0"/>
                <w:sz w:val="24"/>
                <w:szCs w:val="24"/>
                <w:highlight w:val="none"/>
                <w:shd w:fill="auto" w:val="clear"/>
                <w:lang w:val="pt-BR" w:eastAsia="pt-BR" w:bidi="ar-SA"/>
              </w:rPr>
            </w:pPr>
            <w:r>
              <w:rPr>
                <w:rFonts w:eastAsia="Merriweather" w:cs="Times New Roman"/>
                <w:kern w:val="0"/>
                <w:sz w:val="24"/>
                <w:szCs w:val="24"/>
                <w:shd w:fill="auto" w:val="clear"/>
                <w:lang w:val="pt-BR" w:eastAsia="pt-BR" w:bidi="ar-SA"/>
              </w:rPr>
            </w:r>
          </w:p>
          <w:p>
            <w:pPr>
              <w:pStyle w:val="Normal"/>
              <w:widowControl/>
              <w:spacing w:lineRule="auto" w:line="276" w:before="0" w:after="0"/>
              <w:ind w:hanging="2" w:left="-119" w:right="-83"/>
              <w:jc w:val="both"/>
              <w:rPr>
                <w:rFonts w:ascii="Times New Roman" w:hAnsi="Times New Roman" w:eastAsia="Times New Roman" w:cs="Times New Roman"/>
                <w:kern w:val="0"/>
                <w:sz w:val="24"/>
                <w:szCs w:val="24"/>
                <w:highlight w:val="none"/>
                <w:shd w:fill="auto" w:val="clear"/>
                <w:lang w:val="pt-BR" w:eastAsia="pt-BR" w:bidi="ar-SA"/>
              </w:rPr>
            </w:pPr>
            <w:r>
              <w:rPr>
                <w:rFonts w:eastAsia="Merriweather" w:cs="Times New Roman"/>
                <w:kern w:val="0"/>
                <w:sz w:val="24"/>
                <w:szCs w:val="24"/>
                <w:shd w:fill="auto" w:val="clear"/>
                <w:lang w:val="pt-BR" w:eastAsia="pt-BR" w:bidi="ar-SA"/>
              </w:rPr>
              <w:t>O objeto da contratação está previsto no Plano de Contratações Anual de 2025, conforme edição  nº 1008, ano: 2025, publicado nos dias 11 de março de 2025, de acordo com o detalhamento a seguir:</w:t>
            </w:r>
          </w:p>
        </w:tc>
      </w:tr>
      <w:tr>
        <w:trPr/>
        <w:tc>
          <w:tcPr>
            <w:tcW w:w="3393" w:type="dxa"/>
            <w:gridSpan w:val="3"/>
            <w:tcBorders/>
            <w:shd w:color="auto" w:fill="DBE5F1" w:themeFill="accent1" w:themeFillTint="33" w:val="clear"/>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b/>
                <w:kern w:val="0"/>
                <w:sz w:val="22"/>
                <w:szCs w:val="22"/>
                <w:shd w:fill="auto" w:val="clear"/>
                <w:lang w:val="pt-BR" w:eastAsia="pt-BR" w:bidi="ar-SA"/>
              </w:rPr>
              <w:t>SECRETARIA</w:t>
            </w:r>
          </w:p>
        </w:tc>
        <w:tc>
          <w:tcPr>
            <w:tcW w:w="2501" w:type="dxa"/>
            <w:gridSpan w:val="3"/>
            <w:tcBorders/>
            <w:shd w:color="auto" w:fill="DBE5F1" w:themeFill="accent1" w:themeFillTint="33" w:val="clear"/>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b/>
                <w:kern w:val="0"/>
                <w:sz w:val="22"/>
                <w:szCs w:val="22"/>
                <w:shd w:fill="auto" w:val="clear"/>
                <w:lang w:val="pt-BR" w:eastAsia="pt-BR" w:bidi="ar-SA"/>
              </w:rPr>
              <w:t>DEMANDA</w:t>
            </w:r>
          </w:p>
        </w:tc>
        <w:tc>
          <w:tcPr>
            <w:tcW w:w="3490" w:type="dxa"/>
            <w:gridSpan w:val="2"/>
            <w:tcBorders/>
            <w:shd w:color="auto" w:fill="DBE5F1" w:themeFill="accent1" w:themeFillTint="33" w:val="clear"/>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b/>
                <w:kern w:val="0"/>
                <w:sz w:val="22"/>
                <w:szCs w:val="22"/>
                <w:shd w:fill="auto" w:val="clear"/>
                <w:lang w:val="pt-BR" w:eastAsia="pt-BR" w:bidi="ar-SA"/>
              </w:rPr>
              <w:t>PÁGINA DA EDIÇÃO</w:t>
            </w:r>
          </w:p>
        </w:tc>
      </w:tr>
      <w:tr>
        <w:trPr>
          <w:trHeight w:val="240" w:hRule="atLeast"/>
        </w:trPr>
        <w:tc>
          <w:tcPr>
            <w:tcW w:w="3393" w:type="dxa"/>
            <w:gridSpan w:val="3"/>
            <w:tcBorders/>
          </w:tcPr>
          <w:p>
            <w:pPr>
              <w:pStyle w:val="Normal"/>
              <w:widowControl/>
              <w:spacing w:before="0" w:after="0"/>
              <w:ind w:hanging="2" w:right="-362"/>
              <w:jc w:val="left"/>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kern w:val="0"/>
                <w:sz w:val="24"/>
                <w:szCs w:val="24"/>
                <w:shd w:fill="auto" w:val="clear"/>
                <w:lang w:val="pt-BR" w:eastAsia="pt-BR" w:bidi="ar-SA"/>
              </w:rPr>
              <w:t>AGRICULTURA E PECUÁRIA</w:t>
            </w:r>
          </w:p>
        </w:tc>
        <w:tc>
          <w:tcPr>
            <w:tcW w:w="2501" w:type="dxa"/>
            <w:gridSpan w:val="3"/>
            <w:tcBorders/>
          </w:tcPr>
          <w:p>
            <w:pPr>
              <w:pStyle w:val="Normal"/>
              <w:widowControl/>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kern w:val="0"/>
                <w:sz w:val="24"/>
                <w:szCs w:val="24"/>
                <w:shd w:fill="auto" w:val="clear"/>
                <w:lang w:val="pt-BR" w:eastAsia="pt-BR" w:bidi="ar-SA"/>
              </w:rPr>
              <w:t>SAP0078</w:t>
            </w:r>
          </w:p>
        </w:tc>
        <w:tc>
          <w:tcPr>
            <w:tcW w:w="3490" w:type="dxa"/>
            <w:gridSpan w:val="2"/>
            <w:tcBorders/>
          </w:tcPr>
          <w:p>
            <w:pPr>
              <w:pStyle w:val="Normal"/>
              <w:widowControl/>
              <w:tabs>
                <w:tab w:val="clear" w:pos="720"/>
                <w:tab w:val="left" w:pos="567" w:leader="none"/>
              </w:tabs>
              <w:spacing w:before="0" w:after="0"/>
              <w:ind w:hanging="2" w:right="-362"/>
              <w:jc w:val="center"/>
              <w:rPr>
                <w:rFonts w:ascii="Times New Roman" w:hAnsi="Times New Roman" w:eastAsia="Times New Roman" w:cs="Times New Roman"/>
                <w:kern w:val="0"/>
                <w:sz w:val="24"/>
                <w:szCs w:val="24"/>
                <w:highlight w:val="none"/>
                <w:shd w:fill="auto" w:val="clear"/>
                <w:lang w:val="pt-BR" w:eastAsia="pt-BR" w:bidi="ar-SA"/>
              </w:rPr>
            </w:pPr>
            <w:r>
              <w:rPr>
                <w:rFonts w:eastAsia="Times New Roman" w:cs="Times New Roman"/>
                <w:kern w:val="0"/>
                <w:sz w:val="24"/>
                <w:szCs w:val="24"/>
                <w:shd w:fill="auto" w:val="clear"/>
                <w:lang w:val="pt-BR" w:eastAsia="pt-BR" w:bidi="ar-SA"/>
              </w:rPr>
              <w:t>Página 72 de 257</w:t>
            </w:r>
          </w:p>
        </w:tc>
      </w:tr>
      <w:tr>
        <w:trPr/>
        <w:tc>
          <w:tcPr>
            <w:tcW w:w="9384" w:type="dxa"/>
            <w:gridSpan w:val="8"/>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9384" w:type="dxa"/>
            <w:gridSpan w:val="8"/>
            <w:tcBorders>
              <w:top w:val="nil"/>
              <w:left w:val="nil"/>
              <w:bottom w:val="nil"/>
              <w:right w:val="nil"/>
            </w:tcBorders>
            <w:shd w:color="auto" w:fill="auto" w:val="clear"/>
          </w:tcPr>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 xml:space="preserve">2.1. </w:t>
            </w:r>
            <w:r>
              <w:rPr>
                <w:rFonts w:eastAsia="Times New Roman" w:cs="Arial" w:ascii="Arial" w:hAnsi="Arial"/>
                <w:b/>
                <w:bCs/>
                <w:kern w:val="0"/>
                <w:sz w:val="22"/>
                <w:szCs w:val="22"/>
                <w:lang w:val="pt-BR" w:eastAsia="pt-BR" w:bidi="ar-SA"/>
              </w:rPr>
              <w:t>JUSTIFICATIVA SE NEGATIVO</w:t>
            </w:r>
            <w:r>
              <w:rPr>
                <w:rFonts w:eastAsia="Times New Roman" w:cs="Arial" w:ascii="Arial" w:hAnsi="Arial"/>
                <w:kern w:val="0"/>
                <w:sz w:val="22"/>
                <w:szCs w:val="22"/>
                <w:lang w:val="pt-BR" w:eastAsia="pt-BR" w:bidi="ar-SA"/>
              </w:rPr>
              <w:t>: Não se aplica</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 A contratação está prevista nas seguintes leis orçamentárias:</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2.2.1.  PPA - Lei n.º 4.057/2021 de 10 de novembro de 2021;</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2.2.2. LDO - Lei n.º 4.462/2024, de 14 de agosto de 2024;</w:t>
            </w:r>
          </w:p>
          <w:p>
            <w:pPr>
              <w:pStyle w:val="Normal"/>
              <w:widowControl/>
              <w:spacing w:lineRule="auto" w:line="276"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2.2.3. LOA – Lei nº 4.477/2024, de 03 de dezembro de 2024;</w:t>
            </w:r>
          </w:p>
          <w:p>
            <w:pPr>
              <w:pStyle w:val="Normal"/>
              <w:widowControl/>
              <w:spacing w:lineRule="auto" w:line="276" w:before="0" w:after="0"/>
              <w:ind w:right="-2"/>
              <w:jc w:val="both"/>
              <w:rPr>
                <w:rFonts w:ascii="Arial" w:hAnsi="Arial" w:cs="Arial"/>
                <w:sz w:val="22"/>
                <w:szCs w:val="22"/>
              </w:rPr>
            </w:pPr>
            <w:r>
              <w:rPr>
                <w:rFonts w:cs="Arial" w:ascii="Arial" w:hAnsi="Arial"/>
                <w:sz w:val="22"/>
                <w:szCs w:val="22"/>
              </w:rPr>
            </w:r>
          </w:p>
        </w:tc>
      </w:tr>
      <w:tr>
        <w:trPr/>
        <w:tc>
          <w:tcPr>
            <w:tcW w:w="9384" w:type="dxa"/>
            <w:gridSpan w:val="8"/>
            <w:tcBorders>
              <w:top w:val="nil"/>
              <w:left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9384" w:type="dxa"/>
            <w:gridSpan w:val="8"/>
            <w:tcBorders/>
            <w:shd w:color="auto" w:fill="auto" w:val="clear"/>
          </w:tcPr>
          <w:p>
            <w:pPr>
              <w:pStyle w:val="Normal"/>
              <w:widowControl/>
              <w:spacing w:before="0" w:after="0"/>
              <w:ind w:right="-2"/>
              <w:jc w:val="both"/>
              <w:rPr>
                <w:rFonts w:ascii="Arial" w:hAnsi="Arial" w:cs="Arial"/>
                <w:b/>
                <w:bCs/>
                <w:sz w:val="22"/>
                <w:szCs w:val="22"/>
              </w:rPr>
            </w:pPr>
            <w:r>
              <w:rPr>
                <w:rFonts w:eastAsia="Times New Roman" w:cs="Arial" w:ascii="Arial" w:hAnsi="Arial"/>
                <w:b/>
                <w:bCs/>
                <w:kern w:val="0"/>
                <w:sz w:val="22"/>
                <w:szCs w:val="22"/>
                <w:lang w:val="pt-BR" w:eastAsia="pt-BR" w:bidi="ar-SA"/>
              </w:rPr>
              <w:t>2.2. CRÉDITOS ORÇAMENTÁRIOS:</w:t>
            </w:r>
          </w:p>
        </w:tc>
      </w:tr>
      <w:tr>
        <w:trPr/>
        <w:tc>
          <w:tcPr>
            <w:tcW w:w="9384" w:type="dxa"/>
            <w:gridSpan w:val="8"/>
            <w:tcBorders/>
            <w:shd w:color="auto" w:fill="auto" w:val="clear"/>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r>
      <w:tr>
        <w:trPr/>
        <w:tc>
          <w:tcPr>
            <w:tcW w:w="3126" w:type="dxa"/>
            <w:gridSpan w:val="2"/>
            <w:tcBorders/>
            <w:shd w:color="auto" w:fill="auto" w:val="clear"/>
          </w:tcPr>
          <w:p>
            <w:pPr>
              <w:pStyle w:val="Normal"/>
              <w:widowControl/>
              <w:spacing w:before="0" w:after="0"/>
              <w:ind w:right="-2"/>
              <w:jc w:val="center"/>
              <w:rPr>
                <w:rFonts w:ascii="Arial" w:hAnsi="Arial" w:cs="Arial"/>
                <w:b/>
                <w:bCs/>
                <w:sz w:val="22"/>
                <w:szCs w:val="22"/>
              </w:rPr>
            </w:pPr>
            <w:r>
              <w:rPr>
                <w:rFonts w:eastAsia="Times New Roman" w:cs="Times New Roman"/>
                <w:b/>
                <w:bCs/>
                <w:kern w:val="0"/>
                <w:sz w:val="20"/>
                <w:szCs w:val="20"/>
                <w:lang w:val="pt-BR" w:eastAsia="pt-BR" w:bidi="ar-SA"/>
              </w:rPr>
              <w:t>DOTAÇÃO</w:t>
            </w:r>
          </w:p>
        </w:tc>
        <w:tc>
          <w:tcPr>
            <w:tcW w:w="3130" w:type="dxa"/>
            <w:gridSpan w:val="5"/>
            <w:tcBorders/>
            <w:shd w:color="auto" w:fill="auto" w:val="clear"/>
          </w:tcPr>
          <w:p>
            <w:pPr>
              <w:pStyle w:val="Normal"/>
              <w:widowControl/>
              <w:spacing w:before="0" w:after="0"/>
              <w:ind w:right="-2"/>
              <w:jc w:val="center"/>
              <w:rPr>
                <w:rFonts w:ascii="Arial" w:hAnsi="Arial" w:cs="Arial"/>
                <w:b/>
                <w:bCs/>
                <w:sz w:val="22"/>
                <w:szCs w:val="22"/>
              </w:rPr>
            </w:pPr>
            <w:r>
              <w:rPr>
                <w:rFonts w:eastAsia="Times New Roman" w:cs="Times New Roman"/>
                <w:b/>
                <w:bCs/>
                <w:kern w:val="0"/>
                <w:sz w:val="20"/>
                <w:szCs w:val="20"/>
                <w:lang w:val="pt-BR" w:eastAsia="pt-BR" w:bidi="ar-SA"/>
              </w:rPr>
              <w:t>DESCRIÇÃO</w:t>
            </w:r>
          </w:p>
        </w:tc>
        <w:tc>
          <w:tcPr>
            <w:tcW w:w="3128" w:type="dxa"/>
            <w:tcBorders/>
            <w:shd w:color="auto" w:fill="auto" w:val="clear"/>
          </w:tcPr>
          <w:p>
            <w:pPr>
              <w:pStyle w:val="Normal"/>
              <w:widowControl/>
              <w:spacing w:before="0" w:after="0"/>
              <w:ind w:right="-2"/>
              <w:jc w:val="center"/>
              <w:rPr>
                <w:rFonts w:ascii="Arial" w:hAnsi="Arial" w:cs="Arial"/>
                <w:b/>
                <w:bCs/>
                <w:sz w:val="22"/>
                <w:szCs w:val="22"/>
              </w:rPr>
            </w:pPr>
            <w:r>
              <w:rPr>
                <w:rFonts w:eastAsia="Times New Roman" w:cs="Times New Roman"/>
                <w:b/>
                <w:bCs/>
                <w:kern w:val="0"/>
                <w:sz w:val="20"/>
                <w:szCs w:val="20"/>
                <w:lang w:val="pt-BR" w:eastAsia="pt-BR" w:bidi="ar-SA"/>
              </w:rPr>
              <w:t>RECURSO</w:t>
            </w:r>
          </w:p>
        </w:tc>
      </w:tr>
      <w:tr>
        <w:trPr>
          <w:trHeight w:val="162" w:hRule="atLeast"/>
        </w:trPr>
        <w:tc>
          <w:tcPr>
            <w:tcW w:w="3126" w:type="dxa"/>
            <w:gridSpan w:val="2"/>
            <w:tcBorders/>
            <w:shd w:color="auto" w:fill="auto" w:val="clear"/>
          </w:tcPr>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r>
          </w:p>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t>0445 0839 03.09.01.02.1.700.0000 4.4.90.52.00.00</w:t>
            </w:r>
          </w:p>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r>
          </w:p>
        </w:tc>
        <w:tc>
          <w:tcPr>
            <w:tcW w:w="3130" w:type="dxa"/>
            <w:gridSpan w:val="5"/>
            <w:tcBorders/>
            <w:shd w:color="auto" w:fill="auto" w:val="clear"/>
          </w:tcPr>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t>EQUIPAMENTO E MATERIAL PERMANENTE</w:t>
            </w:r>
          </w:p>
        </w:tc>
        <w:tc>
          <w:tcPr>
            <w:tcW w:w="3128" w:type="dxa"/>
            <w:tcBorders/>
            <w:shd w:color="auto" w:fill="auto" w:val="clear"/>
          </w:tcPr>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t>R$ 200.550,00</w:t>
            </w:r>
          </w:p>
        </w:tc>
      </w:tr>
      <w:tr>
        <w:trPr>
          <w:trHeight w:val="162" w:hRule="atLeast"/>
        </w:trPr>
        <w:tc>
          <w:tcPr>
            <w:tcW w:w="3126" w:type="dxa"/>
            <w:gridSpan w:val="2"/>
            <w:tcBorders>
              <w:top w:val="nil"/>
            </w:tcBorders>
            <w:shd w:color="auto" w:fill="auto" w:val="clear"/>
          </w:tcPr>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r>
          </w:p>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t>0445 0000 01.07.00.00.1.500.0000 4.4.90.52.00.00</w:t>
            </w:r>
          </w:p>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r>
          </w:p>
        </w:tc>
        <w:tc>
          <w:tcPr>
            <w:tcW w:w="3130" w:type="dxa"/>
            <w:gridSpan w:val="5"/>
            <w:tcBorders>
              <w:top w:val="nil"/>
            </w:tcBorders>
            <w:shd w:color="auto" w:fill="auto" w:val="clear"/>
          </w:tcPr>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t>EQUIPAMENTO E MATERIAL PERMANENTE</w:t>
            </w:r>
          </w:p>
        </w:tc>
        <w:tc>
          <w:tcPr>
            <w:tcW w:w="3128" w:type="dxa"/>
            <w:tcBorders>
              <w:top w:val="nil"/>
            </w:tcBorders>
            <w:shd w:color="auto" w:fill="auto" w:val="clear"/>
          </w:tcPr>
          <w:p>
            <w:pPr>
              <w:pStyle w:val="Normal"/>
              <w:widowControl/>
              <w:spacing w:before="0" w:after="0"/>
              <w:ind w:right="-2"/>
              <w:jc w:val="center"/>
              <w:rPr>
                <w:rFonts w:ascii="Times New Roman" w:hAnsi="Times New Roman" w:eastAsia="Times New Roman" w:cs="Times New Roman"/>
                <w:kern w:val="0"/>
                <w:sz w:val="20"/>
                <w:szCs w:val="20"/>
                <w:highlight w:val="none"/>
                <w:shd w:fill="auto" w:val="clear"/>
                <w:lang w:val="pt-BR" w:eastAsia="pt-BR" w:bidi="ar-SA"/>
              </w:rPr>
            </w:pPr>
            <w:r>
              <w:rPr>
                <w:rFonts w:eastAsia="Times New Roman" w:cs="Times New Roman"/>
                <w:kern w:val="0"/>
                <w:sz w:val="20"/>
                <w:szCs w:val="20"/>
                <w:shd w:fill="auto" w:val="clear"/>
                <w:lang w:val="pt-BR" w:eastAsia="pt-BR" w:bidi="ar-SA"/>
              </w:rPr>
              <w:t>R$ 8.560,00</w:t>
            </w:r>
          </w:p>
        </w:tc>
      </w:tr>
    </w:tbl>
    <w:p>
      <w:pPr>
        <w:pStyle w:val="Normal"/>
        <w:ind w:right="-2"/>
        <w:jc w:val="both"/>
        <w:rPr>
          <w:rFonts w:ascii="Arial" w:hAnsi="Arial" w:cs="Arial"/>
          <w:sz w:val="22"/>
          <w:szCs w:val="22"/>
        </w:rPr>
      </w:pPr>
      <w:r>
        <w:rPr>
          <w:rFonts w:cs="Arial" w:ascii="Arial" w:hAnsi="Arial"/>
          <w:sz w:val="22"/>
          <w:szCs w:val="22"/>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nil"/>
              <w:left w:val="nil"/>
              <w:bottom w:val="nil"/>
              <w:right w:val="nil"/>
            </w:tcBorders>
          </w:tcPr>
          <w:p>
            <w:pPr>
              <w:pStyle w:val="Normal"/>
              <w:widowControl/>
              <w:spacing w:before="0" w:after="0"/>
              <w:ind w:left="-108" w:right="-116"/>
              <w:jc w:val="both"/>
              <w:rPr>
                <w:rFonts w:ascii="Arial" w:hAnsi="Arial" w:cs="Arial"/>
                <w:sz w:val="22"/>
                <w:szCs w:val="22"/>
              </w:rPr>
            </w:pPr>
            <w:r>
              <w:rPr>
                <w:rFonts w:eastAsia="Times New Roman" w:cs="Arial" w:ascii="Arial" w:hAnsi="Arial"/>
                <w:b/>
                <w:bCs/>
                <w:kern w:val="0"/>
                <w:sz w:val="22"/>
                <w:szCs w:val="22"/>
                <w:lang w:val="pt-BR" w:eastAsia="pt-BR" w:bidi="ar-SA"/>
              </w:rPr>
              <w:t>2.3. ENQUADRAMENTO DA CONTRATAÇÃO:</w:t>
            </w:r>
            <w:r>
              <w:rPr>
                <w:rFonts w:eastAsia="Times New Roman" w:cs="Arial" w:ascii="Arial" w:hAnsi="Arial"/>
                <w:kern w:val="0"/>
                <w:sz w:val="22"/>
                <w:szCs w:val="22"/>
                <w:lang w:val="pt-BR" w:eastAsia="pt-BR" w:bidi="ar-SA"/>
              </w:rPr>
              <w:t xml:space="preserve"> Em conformidade com as normas constantes dos Arts. 16 e 17 da Lei Complementar n° 101, de 04 de maio de 2000 - Lei de Responsabilidade Fiscal, a presente contratação enquadra-se em:</w:t>
            </w:r>
          </w:p>
        </w:tc>
      </w:tr>
    </w:tbl>
    <w:p>
      <w:pPr>
        <w:pStyle w:val="Normal"/>
        <w:ind w:right="-2"/>
        <w:jc w:val="both"/>
        <w:rPr>
          <w:rFonts w:ascii="Arial" w:hAnsi="Arial" w:cs="Arial"/>
          <w:sz w:val="22"/>
          <w:szCs w:val="22"/>
        </w:rPr>
      </w:pPr>
      <w:r>
        <w:rPr>
          <w:rFonts w:cs="Arial" w:ascii="Arial" w:hAnsi="Arial"/>
          <w:sz w:val="22"/>
          <w:szCs w:val="22"/>
        </w:rPr>
      </w:r>
    </w:p>
    <w:tbl>
      <w:tblPr>
        <w:tblStyle w:val="Tabelacomgrade"/>
        <w:tblW w:w="938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4283"/>
        <w:gridCol w:w="287"/>
        <w:gridCol w:w="2034"/>
        <w:gridCol w:w="337"/>
        <w:gridCol w:w="2440"/>
      </w:tblGrid>
      <w:tr>
        <w:trPr/>
        <w:tc>
          <w:tcPr>
            <w:tcW w:w="4283" w:type="dxa"/>
            <w:tcBorders>
              <w:top w:val="nil"/>
              <w:left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Criação ação de governo</w:t>
            </w:r>
          </w:p>
        </w:tc>
        <w:tc>
          <w:tcPr>
            <w:tcW w:w="287" w:type="dxa"/>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337" w:type="dxa"/>
            <w:tcBorders/>
          </w:tcPr>
          <w:p>
            <w:pPr>
              <w:pStyle w:val="Normal"/>
              <w:widowControl/>
              <w:spacing w:before="0" w:after="0"/>
              <w:ind w:right="-2"/>
              <w:jc w:val="both"/>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2440" w:type="dxa"/>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c>
          <w:tcPr>
            <w:tcW w:w="4283"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7" w:type="dxa"/>
            <w:tcBorders>
              <w:left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337" w:type="dxa"/>
            <w:tcBorders>
              <w:left w:val="nil"/>
              <w:right w:val="nil"/>
            </w:tcBorders>
          </w:tcPr>
          <w:p>
            <w:pPr>
              <w:pStyle w:val="Normal"/>
              <w:widowControl/>
              <w:spacing w:before="0" w:after="0"/>
              <w:ind w:right="-2"/>
              <w:jc w:val="both"/>
              <w:rPr>
                <w:rFonts w:ascii="Arial" w:hAnsi="Arial" w:cs="Arial"/>
                <w:b/>
                <w:bCs/>
                <w:color w:val="FF0000"/>
                <w:sz w:val="22"/>
                <w:szCs w:val="22"/>
              </w:rPr>
            </w:pPr>
            <w:r>
              <w:rPr>
                <w:rFonts w:cs="Arial" w:ascii="Arial" w:hAnsi="Arial"/>
                <w:b/>
                <w:bCs/>
                <w:color w:val="FF0000"/>
                <w:sz w:val="22"/>
                <w:szCs w:val="22"/>
              </w:rPr>
            </w:r>
          </w:p>
        </w:tc>
        <w:tc>
          <w:tcPr>
            <w:tcW w:w="2440"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4283" w:type="dxa"/>
            <w:tcBorders>
              <w:top w:val="nil"/>
              <w:left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Expansão ação de governo</w:t>
            </w:r>
          </w:p>
        </w:tc>
        <w:tc>
          <w:tcPr>
            <w:tcW w:w="287" w:type="dxa"/>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337" w:type="dxa"/>
            <w:tcBorders/>
          </w:tcPr>
          <w:p>
            <w:pPr>
              <w:pStyle w:val="Normal"/>
              <w:widowControl/>
              <w:spacing w:before="0" w:after="0"/>
              <w:ind w:right="-2"/>
              <w:jc w:val="both"/>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2440" w:type="dxa"/>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c>
          <w:tcPr>
            <w:tcW w:w="4283"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7" w:type="dxa"/>
            <w:tcBorders>
              <w:left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034"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337" w:type="dxa"/>
            <w:tcBorders>
              <w:left w:val="nil"/>
              <w:right w:val="nil"/>
            </w:tcBorders>
          </w:tcPr>
          <w:p>
            <w:pPr>
              <w:pStyle w:val="Normal"/>
              <w:widowControl/>
              <w:spacing w:before="0" w:after="0"/>
              <w:ind w:right="-2"/>
              <w:jc w:val="both"/>
              <w:rPr>
                <w:rFonts w:ascii="Arial" w:hAnsi="Arial" w:cs="Arial"/>
                <w:b/>
                <w:bCs/>
                <w:color w:val="FF0000"/>
                <w:sz w:val="22"/>
                <w:szCs w:val="22"/>
              </w:rPr>
            </w:pPr>
            <w:r>
              <w:rPr>
                <w:rFonts w:cs="Arial" w:ascii="Arial" w:hAnsi="Arial"/>
                <w:b/>
                <w:bCs/>
                <w:color w:val="FF0000"/>
                <w:sz w:val="22"/>
                <w:szCs w:val="22"/>
              </w:rPr>
            </w:r>
          </w:p>
        </w:tc>
        <w:tc>
          <w:tcPr>
            <w:tcW w:w="2440" w:type="dxa"/>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c>
          <w:tcPr>
            <w:tcW w:w="4283" w:type="dxa"/>
            <w:tcBorders>
              <w:top w:val="nil"/>
              <w:left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Aperfeiçoamento ação de governo</w:t>
            </w:r>
          </w:p>
        </w:tc>
        <w:tc>
          <w:tcPr>
            <w:tcW w:w="287" w:type="dxa"/>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t>x</w:t>
            </w:r>
          </w:p>
        </w:tc>
        <w:tc>
          <w:tcPr>
            <w:tcW w:w="2034" w:type="dxa"/>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337" w:type="dxa"/>
            <w:tcBorders/>
          </w:tcPr>
          <w:p>
            <w:pPr>
              <w:pStyle w:val="Normal"/>
              <w:widowControl/>
              <w:spacing w:before="0" w:after="0"/>
              <w:ind w:right="-2"/>
              <w:jc w:val="both"/>
              <w:rPr>
                <w:rFonts w:ascii="Arial" w:hAnsi="Arial" w:cs="Arial"/>
                <w:b/>
                <w:bCs/>
                <w:color w:val="FF0000"/>
                <w:sz w:val="22"/>
                <w:szCs w:val="22"/>
              </w:rPr>
            </w:pPr>
            <w:r>
              <w:rPr>
                <w:rFonts w:cs="Arial" w:ascii="Arial" w:hAnsi="Arial"/>
                <w:b/>
                <w:bCs/>
                <w:color w:val="FF0000"/>
                <w:sz w:val="22"/>
                <w:szCs w:val="22"/>
              </w:rPr>
            </w:r>
          </w:p>
        </w:tc>
        <w:tc>
          <w:tcPr>
            <w:tcW w:w="2440" w:type="dxa"/>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bl>
    <w:p>
      <w:pPr>
        <w:pStyle w:val="Normal"/>
        <w:ind w:right="-2"/>
        <w:jc w:val="both"/>
        <w:rPr>
          <w:rFonts w:ascii="Arial" w:hAnsi="Arial" w:cs="Arial"/>
          <w:sz w:val="22"/>
          <w:szCs w:val="22"/>
        </w:rPr>
      </w:pPr>
      <w:r>
        <w:rPr>
          <w:rFonts w:cs="Arial" w:ascii="Arial" w:hAnsi="Arial"/>
          <w:sz w:val="22"/>
          <w:szCs w:val="22"/>
        </w:rPr>
      </w:r>
    </w:p>
    <w:tbl>
      <w:tblPr>
        <w:tblStyle w:val="Tabelacomgrade"/>
        <w:tblW w:w="9359" w:type="dxa"/>
        <w:jc w:val="left"/>
        <w:tblInd w:w="-15" w:type="dxa"/>
        <w:tblLayout w:type="fixed"/>
        <w:tblCellMar>
          <w:top w:w="0" w:type="dxa"/>
          <w:left w:w="108" w:type="dxa"/>
          <w:bottom w:w="0" w:type="dxa"/>
          <w:right w:w="108" w:type="dxa"/>
        </w:tblCellMar>
        <w:tblLook w:firstRow="1" w:noVBand="1" w:lastRow="0" w:firstColumn="1" w:lastColumn="0" w:noHBand="0" w:val="04a0"/>
      </w:tblPr>
      <w:tblGrid>
        <w:gridCol w:w="9359"/>
      </w:tblGrid>
      <w:tr>
        <w:trPr/>
        <w:tc>
          <w:tcPr>
            <w:tcW w:w="9359" w:type="dxa"/>
            <w:tcBorders>
              <w:top w:val="single" w:sz="12" w:space="0" w:color="000000"/>
              <w:left w:val="single" w:sz="12" w:space="0" w:color="000000"/>
              <w:bottom w:val="single" w:sz="12" w:space="0" w:color="000000"/>
              <w:right w:val="single" w:sz="12" w:space="0" w:color="000000"/>
            </w:tcBorders>
            <w:shd w:color="auto" w:fill="C6D9F1" w:themeFill="text2" w:themeFillTint="33" w:val="clear"/>
          </w:tcPr>
          <w:p>
            <w:pPr>
              <w:pStyle w:val="ListParagraph"/>
              <w:widowControl/>
              <w:tabs>
                <w:tab w:val="clear" w:pos="720"/>
                <w:tab w:val="left" w:pos="300" w:leader="none"/>
              </w:tabs>
              <w:spacing w:before="0" w:after="0"/>
              <w:ind w:left="0" w:right="-2"/>
              <w:contextualSpacing/>
              <w:jc w:val="both"/>
              <w:rPr>
                <w:rFonts w:ascii="Arial" w:hAnsi="Arial" w:cs="Arial"/>
                <w:b/>
                <w:sz w:val="22"/>
                <w:szCs w:val="22"/>
              </w:rPr>
            </w:pPr>
            <w:r>
              <w:rPr>
                <w:rFonts w:eastAsia="Times New Roman" w:cs="Arial" w:ascii="Arial" w:hAnsi="Arial"/>
                <w:b/>
                <w:kern w:val="0"/>
                <w:sz w:val="22"/>
                <w:szCs w:val="22"/>
                <w:lang w:val="pt-BR" w:eastAsia="pt-BR" w:bidi="ar-SA"/>
              </w:rPr>
              <w:t>3. Descrição dos requisitos da potencial contratação (artigo 15, §1º, III, do Decreto nº 3.537/2023):</w:t>
            </w:r>
          </w:p>
          <w:p>
            <w:pPr>
              <w:pStyle w:val="ListParagraph"/>
              <w:widowControl/>
              <w:tabs>
                <w:tab w:val="clear" w:pos="720"/>
                <w:tab w:val="left" w:pos="300" w:leader="none"/>
              </w:tabs>
              <w:spacing w:before="0" w:after="0"/>
              <w:ind w:left="0" w:right="-2"/>
              <w:contextualSpacing/>
              <w:jc w:val="both"/>
              <w:rPr>
                <w:rFonts w:ascii="Arial" w:hAnsi="Arial" w:cs="Arial"/>
                <w:sz w:val="22"/>
                <w:szCs w:val="22"/>
              </w:rPr>
            </w:pPr>
            <w:r>
              <w:rPr>
                <w:rFonts w:cs="Arial" w:ascii="Arial" w:hAnsi="Arial"/>
                <w:sz w:val="22"/>
                <w:szCs w:val="22"/>
              </w:rPr>
            </w:r>
          </w:p>
        </w:tc>
      </w:tr>
    </w:tbl>
    <w:p>
      <w:pPr>
        <w:pStyle w:val="ListParagraph"/>
        <w:tabs>
          <w:tab w:val="clear" w:pos="720"/>
          <w:tab w:val="left" w:pos="284" w:leader="none"/>
        </w:tabs>
        <w:spacing w:lineRule="auto" w:line="276"/>
        <w:ind w:left="0" w:right="-2"/>
        <w:jc w:val="both"/>
        <w:rPr>
          <w:rFonts w:ascii="Arial" w:hAnsi="Arial" w:cs="Arial"/>
          <w:b/>
          <w:sz w:val="22"/>
          <w:szCs w:val="22"/>
        </w:rPr>
      </w:pPr>
      <w:r>
        <w:rPr>
          <w:rFonts w:cs="Arial" w:ascii="Arial" w:hAnsi="Arial"/>
          <w:b/>
          <w:sz w:val="22"/>
          <w:szCs w:val="22"/>
        </w:rPr>
      </w:r>
    </w:p>
    <w:p>
      <w:pPr>
        <w:pStyle w:val="ListParagraph"/>
        <w:tabs>
          <w:tab w:val="clear" w:pos="720"/>
          <w:tab w:val="left" w:pos="284" w:leader="none"/>
        </w:tabs>
        <w:spacing w:lineRule="auto" w:line="276"/>
        <w:ind w:left="0" w:right="-2"/>
        <w:jc w:val="both"/>
        <w:rPr>
          <w:rFonts w:ascii="Arial" w:hAnsi="Arial" w:cs="Arial"/>
          <w:sz w:val="22"/>
          <w:szCs w:val="22"/>
        </w:rPr>
      </w:pPr>
      <w:r>
        <w:rPr>
          <w:rFonts w:cs="Arial" w:ascii="Arial" w:hAnsi="Arial"/>
          <w:b/>
          <w:sz w:val="22"/>
          <w:szCs w:val="22"/>
        </w:rPr>
        <w:t>3.1. DO OBJETO:</w:t>
      </w:r>
      <w:r>
        <w:rPr>
          <w:rFonts w:cs="Arial" w:ascii="Arial" w:hAnsi="Arial"/>
          <w:b w:val="false"/>
          <w:bCs w:val="false"/>
          <w:sz w:val="22"/>
          <w:szCs w:val="22"/>
        </w:rPr>
        <w:t xml:space="preserve"> AQUISIÇÃO DE 01 (UM) TRATOR, </w:t>
      </w:r>
      <w:r>
        <w:rPr>
          <w:rFonts w:cs="Arial" w:ascii="Arial" w:hAnsi="Arial"/>
          <w:b w:val="false"/>
          <w:bCs w:val="false"/>
          <w:sz w:val="22"/>
          <w:szCs w:val="22"/>
        </w:rPr>
        <w:t xml:space="preserve">objeto do </w:t>
      </w:r>
      <w:r>
        <w:rPr>
          <w:rFonts w:cs="Arial" w:ascii="Arial" w:hAnsi="Arial"/>
          <w:b w:val="false"/>
          <w:bCs w:val="false"/>
          <w:sz w:val="24"/>
          <w:szCs w:val="24"/>
        </w:rPr>
        <w:t>convênio nº 956766/2024 - Proposta 7313/2024,  na Plataforma Transferegov.</w:t>
      </w:r>
    </w:p>
    <w:p>
      <w:pPr>
        <w:pStyle w:val="Normal"/>
        <w:ind w:hanging="2" w:right="-2"/>
        <w:jc w:val="both"/>
        <w:rPr>
          <w:rFonts w:ascii="Arial" w:hAnsi="Arial" w:cs="Arial"/>
          <w:b/>
          <w:bCs/>
          <w:sz w:val="22"/>
          <w:szCs w:val="22"/>
        </w:rPr>
      </w:pPr>
      <w:r>
        <w:rPr>
          <w:rFonts w:cs="Arial" w:ascii="Arial" w:hAnsi="Arial"/>
          <w:b/>
          <w:bCs/>
          <w:sz w:val="22"/>
          <w:szCs w:val="22"/>
        </w:rPr>
      </w:r>
    </w:p>
    <w:p>
      <w:pPr>
        <w:pStyle w:val="Normal"/>
        <w:ind w:hanging="2" w:right="-2"/>
        <w:jc w:val="both"/>
        <w:rPr>
          <w:rFonts w:ascii="Arial" w:hAnsi="Arial" w:cs="Arial"/>
          <w:sz w:val="22"/>
          <w:szCs w:val="22"/>
        </w:rPr>
      </w:pPr>
      <w:r>
        <w:rPr>
          <w:rFonts w:cs="Arial" w:ascii="Arial" w:hAnsi="Arial"/>
          <w:b/>
          <w:bCs/>
          <w:sz w:val="22"/>
          <w:szCs w:val="22"/>
        </w:rPr>
        <w:t>3.2. DAS CONTRATAÇÕES ANTERIORES</w:t>
      </w:r>
    </w:p>
    <w:tbl>
      <w:tblPr>
        <w:tblStyle w:val="Tabelacomgrade"/>
        <w:tblW w:w="943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372"/>
        <w:gridCol w:w="285"/>
        <w:gridCol w:w="853"/>
        <w:gridCol w:w="284"/>
        <w:gridCol w:w="644"/>
      </w:tblGrid>
      <w:tr>
        <w:trPr>
          <w:trHeight w:val="161" w:hRule="atLeast"/>
        </w:trPr>
        <w:tc>
          <w:tcPr>
            <w:tcW w:w="7372" w:type="dxa"/>
            <w:vMerge w:val="restart"/>
            <w:tcBorders>
              <w:top w:val="nil"/>
              <w:left w:val="nil"/>
              <w:bottom w:val="nil"/>
            </w:tcBorders>
          </w:tcPr>
          <w:p>
            <w:pPr>
              <w:pStyle w:val="Normal"/>
              <w:widowControl/>
              <w:spacing w:before="0" w:after="0"/>
              <w:ind w:left="-114" w:right="-2"/>
              <w:jc w:val="both"/>
              <w:rPr>
                <w:rFonts w:ascii="Arial" w:hAnsi="Arial" w:cs="Arial"/>
                <w:sz w:val="22"/>
                <w:szCs w:val="22"/>
              </w:rPr>
            </w:pPr>
            <w:r>
              <w:rPr>
                <w:rFonts w:eastAsia="Times New Roman" w:cs="Arial" w:ascii="Arial" w:hAnsi="Arial"/>
                <w:b/>
                <w:bCs/>
                <w:kern w:val="0"/>
                <w:sz w:val="22"/>
                <w:szCs w:val="22"/>
                <w:lang w:val="pt-BR" w:eastAsia="pt-BR" w:bidi="ar-SA"/>
              </w:rPr>
              <w:t xml:space="preserve">3.2.1 </w:t>
            </w:r>
            <w:r>
              <w:rPr>
                <w:rFonts w:eastAsia="Times New Roman" w:cs="Arial" w:ascii="Arial" w:hAnsi="Arial"/>
                <w:kern w:val="0"/>
                <w:sz w:val="22"/>
                <w:szCs w:val="22"/>
                <w:lang w:val="pt-BR" w:eastAsia="pt-BR" w:bidi="ar-SA"/>
              </w:rPr>
              <w:t>O presente objeto não foi adquirido nos últimos exercícios, não constando em nossos arquivos licitação anterior.</w:t>
            </w:r>
          </w:p>
        </w:tc>
        <w:tc>
          <w:tcPr>
            <w:tcW w:w="285" w:type="dxa"/>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853" w:type="dxa"/>
            <w:vMerge w:val="restart"/>
            <w:tcBorders>
              <w:top w:val="nil"/>
              <w:bottom w:val="nil"/>
            </w:tcBorders>
          </w:tcPr>
          <w:p>
            <w:pPr>
              <w:pStyle w:val="Normal"/>
              <w:widowControl/>
              <w:spacing w:before="0" w:after="0"/>
              <w:ind w:right="-2"/>
              <w:jc w:val="both"/>
              <w:rPr>
                <w:color w:val="000000"/>
              </w:rPr>
            </w:pPr>
            <w:r>
              <w:rPr>
                <w:rFonts w:eastAsia="Times New Roman" w:cs="Arial" w:ascii="Arial" w:hAnsi="Arial"/>
                <w:color w:val="000000"/>
                <w:kern w:val="0"/>
                <w:sz w:val="22"/>
                <w:szCs w:val="22"/>
                <w:lang w:val="pt-BR" w:eastAsia="pt-BR" w:bidi="ar-SA"/>
              </w:rPr>
              <w:t>Sim</w:t>
            </w:r>
          </w:p>
        </w:tc>
        <w:tc>
          <w:tcPr>
            <w:tcW w:w="284" w:type="dxa"/>
            <w:tcBorders/>
          </w:tcPr>
          <w:p>
            <w:pPr>
              <w:pStyle w:val="Normal"/>
              <w:widowControl/>
              <w:spacing w:before="0" w:after="0"/>
              <w:ind w:right="-2"/>
              <w:jc w:val="center"/>
              <w:rPr>
                <w:rFonts w:ascii="Arial" w:hAnsi="Arial" w:cs="Arial"/>
                <w:color w:val="FF0000"/>
                <w:sz w:val="22"/>
                <w:szCs w:val="22"/>
              </w:rPr>
            </w:pPr>
            <w:r>
              <w:rPr>
                <w:rFonts w:eastAsia="Times New Roman" w:cs="Arial" w:ascii="Arial" w:hAnsi="Arial"/>
                <w:color w:val="FF0000"/>
                <w:kern w:val="0"/>
                <w:sz w:val="22"/>
                <w:szCs w:val="22"/>
                <w:lang w:val="pt-BR" w:eastAsia="pt-BR" w:bidi="ar-SA"/>
              </w:rPr>
              <w:t>x</w:t>
            </w:r>
          </w:p>
        </w:tc>
        <w:tc>
          <w:tcPr>
            <w:tcW w:w="644" w:type="dxa"/>
            <w:vMerge w:val="restart"/>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rHeight w:val="214"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left w:val="nil"/>
              <w:right w:val="nil"/>
            </w:tcBorders>
          </w:tcPr>
          <w:p>
            <w:pPr>
              <w:pStyle w:val="Normal"/>
              <w:widowControl/>
              <w:spacing w:before="0" w:after="0"/>
              <w:ind w:right="-2"/>
              <w:jc w:val="center"/>
              <w:rPr>
                <w:rFonts w:ascii="Arial" w:hAnsi="Arial" w:cs="Arial"/>
                <w:b/>
                <w:bCs/>
                <w:color w:val="FF0000"/>
                <w:sz w:val="22"/>
                <w:szCs w:val="22"/>
              </w:rPr>
            </w:pPr>
            <w:r>
              <w:rPr>
                <w:rFonts w:cs="Arial" w:ascii="Arial" w:hAnsi="Arial"/>
                <w:b/>
                <w:bCs/>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left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23" w:hRule="atLeast"/>
        </w:trPr>
        <w:tc>
          <w:tcPr>
            <w:tcW w:w="7372" w:type="dxa"/>
            <w:vMerge w:val="restart"/>
            <w:tcBorders>
              <w:top w:val="nil"/>
              <w:left w:val="nil"/>
              <w:bottom w:val="nil"/>
            </w:tcBorders>
          </w:tcPr>
          <w:p>
            <w:pPr>
              <w:pStyle w:val="Normal"/>
              <w:widowControl/>
              <w:spacing w:before="0" w:after="0"/>
              <w:ind w:left="-108" w:right="-2"/>
              <w:jc w:val="both"/>
              <w:rPr>
                <w:rFonts w:ascii="Arial" w:hAnsi="Arial" w:cs="Arial"/>
                <w:sz w:val="22"/>
                <w:szCs w:val="22"/>
              </w:rPr>
            </w:pPr>
            <w:r>
              <w:rPr>
                <w:rFonts w:eastAsia="Times New Roman" w:cs="Arial" w:ascii="Arial" w:hAnsi="Arial"/>
                <w:b/>
                <w:bCs/>
                <w:kern w:val="0"/>
                <w:sz w:val="22"/>
                <w:szCs w:val="22"/>
                <w:lang w:val="pt-BR" w:eastAsia="pt-BR" w:bidi="ar-SA"/>
              </w:rPr>
              <w:t xml:space="preserve">3.2.2. </w:t>
            </w:r>
            <w:r>
              <w:rPr>
                <w:rFonts w:eastAsia="Times New Roman" w:cs="Arial" w:ascii="Arial" w:hAnsi="Arial"/>
                <w:kern w:val="0"/>
                <w:sz w:val="22"/>
                <w:szCs w:val="22"/>
                <w:lang w:val="pt-BR" w:eastAsia="pt-BR" w:bidi="ar-SA"/>
              </w:rPr>
              <w:t>O objeto foi adquirido anteriormente através do Processo Administrativo, sem nenhuma observação pontual sobre a execução do contrato, servindo o quantitativo e o valor da contratação de subsídio para o presente estudo.</w:t>
            </w:r>
          </w:p>
        </w:tc>
        <w:tc>
          <w:tcPr>
            <w:tcW w:w="285" w:type="dxa"/>
            <w:tcBorders/>
          </w:tcPr>
          <w:p>
            <w:pPr>
              <w:pStyle w:val="Normal"/>
              <w:widowControl/>
              <w:spacing w:before="0" w:after="0"/>
              <w:ind w:firstLine="116" w:left="-106" w:right="-2"/>
              <w:jc w:val="left"/>
              <w:rPr>
                <w:rFonts w:ascii="Arial" w:hAnsi="Arial" w:cs="Arial"/>
                <w:sz w:val="22"/>
                <w:szCs w:val="22"/>
              </w:rPr>
            </w:pPr>
            <w:r>
              <w:rPr>
                <w:rFonts w:cs="Arial" w:ascii="Arial" w:hAnsi="Arial"/>
                <w:sz w:val="22"/>
                <w:szCs w:val="22"/>
              </w:rPr>
            </w:r>
          </w:p>
        </w:tc>
        <w:tc>
          <w:tcPr>
            <w:tcW w:w="853" w:type="dxa"/>
            <w:vMerge w:val="restart"/>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284" w:type="dxa"/>
            <w:tcBorders/>
          </w:tcPr>
          <w:p>
            <w:pPr>
              <w:pStyle w:val="Normal"/>
              <w:widowControl/>
              <w:spacing w:before="0" w:after="0"/>
              <w:ind w:right="-2"/>
              <w:jc w:val="center"/>
              <w:rPr>
                <w:rFonts w:ascii="Arial" w:hAnsi="Arial" w:cs="Arial"/>
                <w:color w:val="FF0000"/>
                <w:sz w:val="22"/>
                <w:szCs w:val="22"/>
              </w:rPr>
            </w:pPr>
            <w:r>
              <w:rPr>
                <w:rFonts w:eastAsia="Times New Roman" w:cs="Arial" w:ascii="Arial" w:hAnsi="Arial"/>
                <w:color w:val="FF0000"/>
                <w:kern w:val="0"/>
                <w:sz w:val="22"/>
                <w:szCs w:val="22"/>
                <w:lang w:val="pt-BR" w:eastAsia="pt-BR" w:bidi="ar-SA"/>
              </w:rPr>
              <w:t>x</w:t>
            </w:r>
          </w:p>
        </w:tc>
        <w:tc>
          <w:tcPr>
            <w:tcW w:w="644" w:type="dxa"/>
            <w:vMerge w:val="restart"/>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rHeight w:val="253"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left w:val="nil"/>
              <w:bottom w:val="nil"/>
              <w:right w:val="nil"/>
            </w:tcBorders>
          </w:tcPr>
          <w:p>
            <w:pPr>
              <w:pStyle w:val="Normal"/>
              <w:widowControl/>
              <w:spacing w:before="0" w:after="0"/>
              <w:ind w:right="-2"/>
              <w:jc w:val="center"/>
              <w:rPr>
                <w:rFonts w:ascii="Arial" w:hAnsi="Arial" w:cs="Arial"/>
                <w:b/>
                <w:bCs/>
                <w:color w:val="FF0000"/>
                <w:sz w:val="22"/>
                <w:szCs w:val="22"/>
              </w:rPr>
            </w:pPr>
            <w:r>
              <w:rPr>
                <w:rFonts w:cs="Arial" w:ascii="Arial" w:hAnsi="Arial"/>
                <w:b/>
                <w:bCs/>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left w:val="nil"/>
              <w:bottom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59"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top w:val="nil"/>
              <w:left w:val="nil"/>
              <w:right w:val="nil"/>
            </w:tcBorders>
          </w:tcPr>
          <w:p>
            <w:pPr>
              <w:pStyle w:val="Normal"/>
              <w:widowControl/>
              <w:spacing w:before="0" w:after="0"/>
              <w:ind w:right="-2"/>
              <w:jc w:val="center"/>
              <w:rPr>
                <w:rFonts w:ascii="Arial" w:hAnsi="Arial" w:cs="Arial"/>
                <w:b/>
                <w:bCs/>
                <w:color w:val="FF0000"/>
                <w:sz w:val="22"/>
                <w:szCs w:val="22"/>
              </w:rPr>
            </w:pPr>
            <w:r>
              <w:rPr>
                <w:rFonts w:cs="Arial" w:ascii="Arial" w:hAnsi="Arial"/>
                <w:b/>
                <w:bCs/>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top w:val="nil"/>
              <w:left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r>
        <w:trPr>
          <w:trHeight w:val="100" w:hRule="atLeast"/>
        </w:trPr>
        <w:tc>
          <w:tcPr>
            <w:tcW w:w="7372" w:type="dxa"/>
            <w:vMerge w:val="restart"/>
            <w:tcBorders>
              <w:top w:val="nil"/>
              <w:left w:val="nil"/>
              <w:bottom w:val="nil"/>
            </w:tcBorders>
          </w:tcPr>
          <w:p>
            <w:pPr>
              <w:pStyle w:val="Normal"/>
              <w:widowControl/>
              <w:spacing w:before="0" w:after="0"/>
              <w:ind w:left="-108" w:right="-2"/>
              <w:jc w:val="both"/>
              <w:rPr>
                <w:rFonts w:ascii="Arial" w:hAnsi="Arial" w:cs="Arial"/>
                <w:color w:val="000000"/>
                <w:sz w:val="22"/>
                <w:szCs w:val="22"/>
              </w:rPr>
            </w:pPr>
            <w:r>
              <w:rPr>
                <w:rFonts w:eastAsia="Times New Roman" w:cs="Arial" w:ascii="Arial" w:hAnsi="Arial"/>
                <w:b/>
                <w:bCs/>
                <w:kern w:val="0"/>
                <w:sz w:val="22"/>
                <w:szCs w:val="22"/>
                <w:lang w:val="pt-BR" w:eastAsia="pt-BR" w:bidi="ar-SA"/>
              </w:rPr>
              <w:t xml:space="preserve">3.2.3. </w:t>
            </w:r>
            <w:r>
              <w:rPr>
                <w:rFonts w:eastAsia="Times New Roman" w:cs="Arial" w:ascii="Arial" w:hAnsi="Arial"/>
                <w:kern w:val="0"/>
                <w:sz w:val="22"/>
                <w:szCs w:val="22"/>
                <w:lang w:val="pt-BR" w:eastAsia="pt-BR" w:bidi="ar-SA"/>
              </w:rPr>
              <w:t>O objeto foi adquirido anteriormente através do Processo Administrativo</w:t>
            </w:r>
            <w:r>
              <w:rPr>
                <w:rFonts w:eastAsia="Times New Roman" w:cs="Arial" w:ascii="Arial" w:hAnsi="Arial"/>
                <w:color w:val="000000"/>
                <w:kern w:val="0"/>
                <w:sz w:val="22"/>
                <w:szCs w:val="22"/>
                <w:lang w:val="pt-BR" w:eastAsia="pt-BR" w:bidi="ar-SA"/>
              </w:rPr>
              <w:t>:</w:t>
            </w:r>
          </w:p>
        </w:tc>
        <w:tc>
          <w:tcPr>
            <w:tcW w:w="285" w:type="dxa"/>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853" w:type="dxa"/>
            <w:vMerge w:val="restart"/>
            <w:tcBorders>
              <w:top w:val="nil"/>
              <w:bottom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Sim</w:t>
            </w:r>
          </w:p>
        </w:tc>
        <w:tc>
          <w:tcPr>
            <w:tcW w:w="284" w:type="dxa"/>
            <w:tcBorders/>
          </w:tcPr>
          <w:p>
            <w:pPr>
              <w:pStyle w:val="Normal"/>
              <w:widowControl/>
              <w:spacing w:before="0" w:after="0"/>
              <w:ind w:right="-2"/>
              <w:jc w:val="center"/>
              <w:rPr>
                <w:rFonts w:ascii="Arial" w:hAnsi="Arial" w:eastAsia="Times New Roman" w:cs="Arial"/>
                <w:color w:val="FF0000"/>
                <w:kern w:val="0"/>
                <w:sz w:val="22"/>
                <w:szCs w:val="22"/>
                <w:lang w:val="pt-BR" w:eastAsia="pt-BR" w:bidi="ar-SA"/>
              </w:rPr>
            </w:pPr>
            <w:r>
              <w:rPr>
                <w:rFonts w:eastAsia="Times New Roman" w:cs="Arial" w:ascii="Arial" w:hAnsi="Arial"/>
                <w:color w:val="FF0000"/>
                <w:kern w:val="0"/>
                <w:sz w:val="22"/>
                <w:szCs w:val="22"/>
                <w:lang w:val="pt-BR" w:eastAsia="pt-BR" w:bidi="ar-SA"/>
              </w:rPr>
              <w:t>X</w:t>
            </w:r>
          </w:p>
        </w:tc>
        <w:tc>
          <w:tcPr>
            <w:tcW w:w="644" w:type="dxa"/>
            <w:vMerge w:val="restart"/>
            <w:tcBorders>
              <w:top w:val="nil"/>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Não</w:t>
            </w:r>
          </w:p>
        </w:tc>
      </w:tr>
      <w:tr>
        <w:trPr>
          <w:trHeight w:val="21" w:hRule="atLeast"/>
        </w:trPr>
        <w:tc>
          <w:tcPr>
            <w:tcW w:w="7372" w:type="dxa"/>
            <w:vMerge w:val="continue"/>
            <w:tcBorders>
              <w:top w:val="nil"/>
              <w:left w:val="nil"/>
              <w:bottom w:val="nil"/>
              <w:right w:val="nil"/>
            </w:tcBorders>
          </w:tcPr>
          <w:p>
            <w:pPr>
              <w:pStyle w:val="Normal"/>
              <w:widowControl/>
              <w:spacing w:before="0" w:after="0"/>
              <w:ind w:right="-2"/>
              <w:jc w:val="both"/>
              <w:rPr>
                <w:rFonts w:ascii="Arial" w:hAnsi="Arial" w:cs="Arial"/>
                <w:b/>
                <w:bCs/>
                <w:sz w:val="22"/>
                <w:szCs w:val="22"/>
              </w:rPr>
            </w:pPr>
            <w:r>
              <w:rPr>
                <w:rFonts w:cs="Arial" w:ascii="Arial" w:hAnsi="Arial"/>
                <w:b/>
                <w:bCs/>
                <w:sz w:val="22"/>
                <w:szCs w:val="22"/>
              </w:rPr>
            </w:r>
          </w:p>
        </w:tc>
        <w:tc>
          <w:tcPr>
            <w:tcW w:w="285" w:type="dxa"/>
            <w:tcBorders>
              <w:left w:val="nil"/>
              <w:bottom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853"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c>
          <w:tcPr>
            <w:tcW w:w="284" w:type="dxa"/>
            <w:tcBorders>
              <w:left w:val="nil"/>
              <w:bottom w:val="nil"/>
              <w:right w:val="nil"/>
            </w:tcBorders>
          </w:tcPr>
          <w:p>
            <w:pPr>
              <w:pStyle w:val="Normal"/>
              <w:widowControl/>
              <w:spacing w:before="0" w:after="0"/>
              <w:ind w:right="-2"/>
              <w:jc w:val="center"/>
              <w:rPr>
                <w:rFonts w:ascii="Arial" w:hAnsi="Arial" w:cs="Arial"/>
                <w:color w:val="FF0000"/>
                <w:sz w:val="22"/>
                <w:szCs w:val="22"/>
              </w:rPr>
            </w:pPr>
            <w:r>
              <w:rPr>
                <w:rFonts w:cs="Arial" w:ascii="Arial" w:hAnsi="Arial"/>
                <w:color w:val="FF0000"/>
                <w:sz w:val="22"/>
                <w:szCs w:val="22"/>
              </w:rPr>
            </w:r>
          </w:p>
        </w:tc>
        <w:tc>
          <w:tcPr>
            <w:tcW w:w="644"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bl>
    <w:p>
      <w:pPr>
        <w:pStyle w:val="Normal"/>
        <w:ind w:hanging="2" w:right="-2"/>
        <w:jc w:val="both"/>
        <w:rPr>
          <w:rFonts w:ascii="Arial" w:hAnsi="Arial" w:cs="Arial"/>
          <w:sz w:val="22"/>
          <w:szCs w:val="22"/>
        </w:rPr>
      </w:pPr>
      <w:r>
        <w:rPr/>
      </w:r>
    </w:p>
    <w:p>
      <w:pPr>
        <w:pStyle w:val="Normal"/>
        <w:ind w:hanging="2" w:right="-2"/>
        <w:jc w:val="both"/>
        <w:rPr>
          <w:rFonts w:ascii="Arial" w:hAnsi="Arial" w:cs="Arial"/>
          <w:sz w:val="22"/>
          <w:szCs w:val="22"/>
        </w:rPr>
      </w:pPr>
      <w:r>
        <w:rPr>
          <w:rFonts w:cs="Arial" w:ascii="Arial" w:hAnsi="Arial"/>
          <w:b/>
          <w:sz w:val="22"/>
          <w:szCs w:val="22"/>
        </w:rPr>
        <w:t xml:space="preserve">3.3. NATUREZA DO SERVIÇO: </w:t>
      </w:r>
      <w:r>
        <w:rPr>
          <w:rFonts w:cs="Arial" w:ascii="Arial" w:hAnsi="Arial"/>
          <w:sz w:val="22"/>
          <w:szCs w:val="22"/>
        </w:rPr>
        <w:t>A natureza do objeto deste ETP dadas suas características, se enquadra como bens comuns nos termos da Lei nº 14.133/2021, cujos padrões de desempenho e qualidade podem ser objetivamente definidos pelo edital, por meio de especificações usuais de mercado.</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bCs/>
          <w:sz w:val="22"/>
          <w:szCs w:val="22"/>
        </w:rPr>
      </w:pPr>
      <w:r>
        <w:rPr>
          <w:rFonts w:cs="Arial" w:ascii="Arial" w:hAnsi="Arial"/>
          <w:b/>
          <w:sz w:val="22"/>
          <w:szCs w:val="22"/>
        </w:rPr>
        <w:t>3.4. PADRÕES MÍNIMOS DE QUALIDADE E DESEMPENHO:</w:t>
      </w:r>
    </w:p>
    <w:p>
      <w:pPr>
        <w:pStyle w:val="Normal"/>
        <w:ind w:hanging="2" w:right="-2"/>
        <w:jc w:val="both"/>
        <w:rPr>
          <w:b w:val="false"/>
          <w:bCs w:val="false"/>
        </w:rPr>
      </w:pPr>
      <w:r>
        <w:rPr>
          <w:rFonts w:cs="Arial" w:ascii="Arial" w:hAnsi="Arial"/>
          <w:b w:val="false"/>
          <w:bCs w:val="false"/>
          <w:sz w:val="22"/>
          <w:szCs w:val="22"/>
        </w:rPr>
        <w:t>3.4.1 Quando da elaboração de TERMO DE REFERÊNCIA, deverá ser exigido:</w:t>
      </w:r>
    </w:p>
    <w:p>
      <w:pPr>
        <w:pStyle w:val="Normal"/>
        <w:widowControl/>
        <w:suppressAutoHyphens w:val="false"/>
        <w:bidi w:val="0"/>
        <w:spacing w:before="0" w:after="0"/>
        <w:ind w:hanging="0" w:left="0" w:right="0"/>
        <w:jc w:val="both"/>
        <w:rPr>
          <w:rFonts w:ascii="Arial" w:hAnsi="Arial"/>
          <w:b w:val="false"/>
          <w:bCs w:val="false"/>
        </w:rPr>
      </w:pPr>
      <w:r>
        <w:rPr>
          <w:rFonts w:ascii="Arial" w:hAnsi="Arial"/>
          <w:b w:val="false"/>
          <w:bCs w:val="false"/>
          <w:sz w:val="22"/>
          <w:szCs w:val="22"/>
        </w:rPr>
        <w:t xml:space="preserve">a) Para Habilitação/ Qualificação Técnica atestado fornecido por pessoas jurídicas de direito público ou privado que comprove a aptidão da CONTRATADA para o desempenho de atividade pertinente e compatível com bem no qual apresentou proposta. </w:t>
      </w:r>
    </w:p>
    <w:p>
      <w:pPr>
        <w:pStyle w:val="Normal"/>
        <w:ind w:hanging="2" w:right="-2"/>
        <w:jc w:val="both"/>
        <w:rPr>
          <w:b w:val="false"/>
          <w:bCs w:val="false"/>
        </w:rPr>
      </w:pPr>
      <w:r>
        <w:rPr>
          <w:rFonts w:cs="Arial" w:ascii="Arial" w:hAnsi="Arial"/>
          <w:b w:val="false"/>
          <w:bCs w:val="false"/>
          <w:sz w:val="22"/>
          <w:szCs w:val="22"/>
        </w:rPr>
        <w:t>b) Prazo de garantia do produto de 01 (um) ano contra defeitos de fabricação, fornecida pela empresa proponente, bem como as demais disposições do Código de Defesa ao Consumidor (Lei federal n. 8.078, de 11 de setembro de 1990);</w:t>
      </w:r>
    </w:p>
    <w:p>
      <w:pPr>
        <w:pStyle w:val="Normal"/>
        <w:ind w:hanging="2" w:right="-2"/>
        <w:jc w:val="both"/>
        <w:rPr>
          <w:rFonts w:ascii="Arial" w:hAnsi="Arial" w:cs="Arial"/>
          <w:bCs/>
          <w:sz w:val="22"/>
          <w:szCs w:val="22"/>
        </w:rPr>
      </w:pPr>
      <w:r>
        <w:rPr>
          <w:rFonts w:cs="Arial" w:ascii="Arial" w:hAnsi="Arial"/>
          <w:bCs/>
          <w:sz w:val="22"/>
          <w:szCs w:val="22"/>
        </w:rPr>
      </w:r>
    </w:p>
    <w:p>
      <w:pPr>
        <w:pStyle w:val="Normal"/>
        <w:ind w:right="-2"/>
        <w:jc w:val="both"/>
        <w:rPr>
          <w:color w:val="000000"/>
        </w:rPr>
      </w:pPr>
      <w:r>
        <w:rPr>
          <w:rFonts w:cs="Arial" w:ascii="Arial" w:hAnsi="Arial"/>
          <w:b/>
          <w:color w:val="000000"/>
          <w:sz w:val="22"/>
          <w:szCs w:val="22"/>
        </w:rPr>
        <w:t>3.5. AMOSTRA</w:t>
      </w:r>
      <w:r>
        <w:rPr>
          <w:rFonts w:cs="Arial" w:ascii="Arial" w:hAnsi="Arial"/>
          <w:bCs/>
          <w:color w:val="000000"/>
          <w:sz w:val="22"/>
          <w:szCs w:val="22"/>
        </w:rPr>
        <w:t>: Não se aplica, considerando que não está presente uma das condições do art. 41, inciso I, da Lei 14.133/2021</w:t>
      </w:r>
      <w:r>
        <w:rPr>
          <w:rFonts w:cs="Arial" w:ascii="Arial" w:hAnsi="Arial"/>
          <w:bCs/>
          <w:color w:val="FF0000"/>
          <w:sz w:val="22"/>
          <w:szCs w:val="22"/>
        </w:rPr>
        <w:t>.</w:t>
      </w:r>
    </w:p>
    <w:p>
      <w:pPr>
        <w:pStyle w:val="Normal"/>
        <w:ind w:right="-2"/>
        <w:jc w:val="both"/>
        <w:rPr>
          <w:rFonts w:ascii="Arial" w:hAnsi="Arial" w:cs="Arial"/>
          <w:bCs/>
          <w:color w:val="FF0000"/>
          <w:sz w:val="22"/>
          <w:szCs w:val="22"/>
        </w:rPr>
      </w:pPr>
      <w:r>
        <w:rPr>
          <w:rFonts w:cs="Arial" w:ascii="Arial" w:hAnsi="Arial"/>
          <w:bCs/>
          <w:color w:val="FF0000"/>
          <w:sz w:val="22"/>
          <w:szCs w:val="22"/>
        </w:rPr>
      </w:r>
    </w:p>
    <w:p>
      <w:pPr>
        <w:pStyle w:val="Normal"/>
        <w:ind w:hanging="2" w:right="-2"/>
        <w:jc w:val="both"/>
        <w:rPr>
          <w:rFonts w:ascii="Arial" w:hAnsi="Arial" w:cs="Arial"/>
          <w:sz w:val="22"/>
          <w:szCs w:val="22"/>
        </w:rPr>
      </w:pPr>
      <w:r>
        <w:rPr>
          <w:rFonts w:cs="Arial" w:ascii="Arial" w:hAnsi="Arial"/>
          <w:b/>
          <w:sz w:val="22"/>
          <w:szCs w:val="22"/>
        </w:rPr>
        <w:t>3.6. DOS CRITÉRIOS DE SUSTENTABILIDADE:</w:t>
      </w:r>
    </w:p>
    <w:p>
      <w:pPr>
        <w:pStyle w:val="Normal"/>
        <w:ind w:hanging="2" w:right="-2"/>
        <w:jc w:val="both"/>
        <w:rPr>
          <w:b w:val="false"/>
          <w:bCs w:val="false"/>
        </w:rPr>
      </w:pPr>
      <w:r>
        <w:rPr>
          <w:rFonts w:cs="Arial" w:ascii="Arial" w:hAnsi="Arial"/>
          <w:b w:val="false"/>
          <w:bCs w:val="false"/>
          <w:sz w:val="22"/>
          <w:szCs w:val="22"/>
        </w:rPr>
        <w:t>Além dos critérios de sustentabilidade eventualmente inseridos na descrição do objeto, quando da elaboração de TERMO DE REFERÊNCIA e na MINUTA DE CONTRATO como obrigação da CONTRATADA, devem ser inseridos como necessários o atendimento dos seguintes requisitos, que se baseiam no Guia Nacional de Contratações Sustentáveis, bem como no Decreto Municipal nº 3.537/2023 de 09 de maio de 2023;</w:t>
      </w:r>
    </w:p>
    <w:p>
      <w:pPr>
        <w:pStyle w:val="Normal"/>
        <w:ind w:hanging="0" w:left="-2"/>
        <w:jc w:val="both"/>
        <w:rPr>
          <w:rFonts w:ascii="Arial" w:hAnsi="Arial"/>
        </w:rPr>
      </w:pPr>
      <w:r>
        <w:rPr>
          <w:rFonts w:ascii="Arial" w:hAnsi="Arial"/>
          <w:sz w:val="22"/>
          <w:szCs w:val="22"/>
        </w:rPr>
        <w:t xml:space="preserve">3.6.1. A contratada deverá: </w:t>
      </w:r>
    </w:p>
    <w:p>
      <w:pPr>
        <w:pStyle w:val="Normal"/>
        <w:ind w:hanging="0" w:left="-2"/>
        <w:jc w:val="both"/>
        <w:rPr>
          <w:rFonts w:ascii="Arial" w:hAnsi="Arial"/>
        </w:rPr>
      </w:pPr>
      <w:r>
        <w:rPr>
          <w:rFonts w:ascii="Arial" w:hAnsi="Arial"/>
          <w:sz w:val="22"/>
          <w:szCs w:val="22"/>
        </w:rPr>
        <w:t xml:space="preserve">a) Promover práticas de sustentabilidade ambiental, quando da execução dos serviços, utilizando produtos biodegradáveis, atóxicos, conforme ABNT NBR 15448-1 e 15448-2 economizando energia, gás, água, assim como separar seletivamente os resíduos oriundos da prestação dos serviços. </w:t>
      </w:r>
    </w:p>
    <w:p>
      <w:pPr>
        <w:pStyle w:val="Normal"/>
        <w:ind w:hanging="0" w:left="-2"/>
        <w:jc w:val="both"/>
        <w:rPr>
          <w:rFonts w:ascii="Arial" w:hAnsi="Arial"/>
        </w:rPr>
      </w:pPr>
      <w:r>
        <w:rPr>
          <w:rFonts w:ascii="Arial" w:hAnsi="Arial"/>
          <w:sz w:val="22"/>
          <w:szCs w:val="22"/>
        </w:rPr>
        <w:t xml:space="preserve">3.6.2. Deverá realizar treinamento periódico dos empregados sobre práticas de sustentabilidade, em especial sobre redução de consumo de energia elétrica, de consumo de água e destinação de resíduos sólidos, observadas as normas ambientais vigentes. </w:t>
      </w:r>
    </w:p>
    <w:p>
      <w:pPr>
        <w:pStyle w:val="Normal"/>
        <w:ind w:hanging="2" w:right="-2"/>
        <w:jc w:val="both"/>
        <w:rPr>
          <w:rFonts w:ascii="Arial" w:hAnsi="Arial" w:cs="Arial"/>
          <w:sz w:val="22"/>
          <w:szCs w:val="22"/>
        </w:rPr>
      </w:pPr>
      <w:r>
        <w:rPr>
          <w:rFonts w:cs="Arial" w:ascii="Arial" w:hAnsi="Arial"/>
          <w:b w:val="false"/>
          <w:bCs w:val="false"/>
          <w:sz w:val="22"/>
          <w:szCs w:val="22"/>
        </w:rPr>
        <w:t>3.6.3. 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 /2005 e legislação correlatas</w:t>
      </w:r>
      <w:r>
        <w:rPr>
          <w:rFonts w:cs="Arial" w:ascii="Arial" w:hAnsi="Arial"/>
          <w:b/>
          <w:sz w:val="22"/>
          <w:szCs w:val="22"/>
        </w:rPr>
        <w:t xml:space="preserve">. </w:t>
      </w:r>
    </w:p>
    <w:p>
      <w:pPr>
        <w:pStyle w:val="Normal"/>
        <w:rPr>
          <w:rFonts w:ascii="Arial" w:hAnsi="Arial"/>
        </w:rPr>
      </w:pPr>
      <w:r>
        <w:rPr>
          <w:rFonts w:ascii="Arial" w:hAnsi="Arial"/>
        </w:rPr>
      </w:r>
    </w:p>
    <w:p>
      <w:pPr>
        <w:pStyle w:val="Normal"/>
        <w:jc w:val="both"/>
        <w:rPr>
          <w:rFonts w:ascii="Arial" w:hAnsi="Arial"/>
          <w:color w:val="FF0000"/>
          <w:sz w:val="22"/>
          <w:szCs w:val="22"/>
        </w:rPr>
      </w:pPr>
      <w:r>
        <w:rPr>
          <w:rFonts w:ascii="Arial" w:hAnsi="Arial"/>
          <w:b/>
          <w:bCs/>
          <w:sz w:val="22"/>
          <w:szCs w:val="22"/>
        </w:rPr>
        <w:t>3.7. GARANTIA DA EXECUÇÃO</w:t>
      </w:r>
      <w:r>
        <w:rPr>
          <w:rFonts w:ascii="Arial" w:hAnsi="Arial"/>
          <w:sz w:val="22"/>
          <w:szCs w:val="22"/>
        </w:rPr>
        <w:t>:</w:t>
      </w:r>
    </w:p>
    <w:p>
      <w:pPr>
        <w:pStyle w:val="Normal"/>
        <w:jc w:val="both"/>
        <w:rPr>
          <w:highlight w:val="none"/>
          <w:shd w:fill="auto" w:val="clear"/>
        </w:rPr>
      </w:pPr>
      <w:r>
        <w:rPr>
          <w:rFonts w:ascii="Arial" w:hAnsi="Arial"/>
          <w:color w:val="000000"/>
          <w:sz w:val="22"/>
          <w:szCs w:val="22"/>
          <w:shd w:fill="auto" w:val="clear"/>
        </w:rPr>
        <w:t>Não haverá exigência de garantia contratual da execução, motivo pelo qual não será permitido pagamento antecipado, parcial ou total, relativo a parcelas contratuais vinculadas à prestação de serviços objeto da presente contratação.</w:t>
      </w:r>
    </w:p>
    <w:p>
      <w:pPr>
        <w:pStyle w:val="Normal"/>
        <w:ind w:right="-2"/>
        <w:jc w:val="both"/>
        <w:rPr>
          <w:rFonts w:ascii="Arial" w:hAnsi="Arial" w:cs="Arial"/>
          <w:b/>
          <w:color w:val="000000"/>
          <w:sz w:val="22"/>
          <w:szCs w:val="22"/>
        </w:rPr>
      </w:pPr>
      <w:r>
        <w:rPr>
          <w:rFonts w:cs="Arial" w:ascii="Arial" w:hAnsi="Arial"/>
          <w:b/>
          <w:color w:val="000000"/>
          <w:sz w:val="22"/>
          <w:szCs w:val="22"/>
        </w:rPr>
      </w:r>
    </w:p>
    <w:p>
      <w:pPr>
        <w:pStyle w:val="Normal"/>
        <w:ind w:right="-2"/>
        <w:jc w:val="both"/>
        <w:rPr>
          <w:highlight w:val="none"/>
          <w:shd w:fill="auto" w:val="clear"/>
        </w:rPr>
      </w:pPr>
      <w:r>
        <w:rPr>
          <w:rFonts w:cs="Arial" w:ascii="Arial" w:hAnsi="Arial"/>
          <w:b/>
          <w:color w:val="000000"/>
          <w:sz w:val="22"/>
          <w:szCs w:val="22"/>
          <w:shd w:fill="auto" w:val="clear"/>
        </w:rPr>
        <w:t>3.8.</w:t>
      </w:r>
      <w:r>
        <w:rPr>
          <w:rFonts w:cs="Arial" w:ascii="Arial" w:hAnsi="Arial"/>
          <w:bCs/>
          <w:color w:val="000000"/>
          <w:sz w:val="22"/>
          <w:szCs w:val="22"/>
          <w:shd w:fill="auto" w:val="clear"/>
        </w:rPr>
        <w:t xml:space="preserve"> </w:t>
      </w:r>
      <w:r>
        <w:rPr>
          <w:rFonts w:cs="Arial" w:ascii="Arial" w:hAnsi="Arial"/>
          <w:b/>
          <w:color w:val="000000"/>
          <w:sz w:val="22"/>
          <w:szCs w:val="22"/>
          <w:shd w:fill="auto" w:val="clear"/>
        </w:rPr>
        <w:t>MANUTENÇÃO E ASSISTÊNCIA TÉCNICA:</w:t>
      </w:r>
      <w:r>
        <w:rPr>
          <w:rFonts w:cs="Arial" w:ascii="Arial" w:hAnsi="Arial"/>
          <w:color w:val="000000"/>
          <w:sz w:val="22"/>
          <w:szCs w:val="22"/>
          <w:shd w:fill="auto" w:val="clear"/>
        </w:rPr>
        <w:t xml:space="preserve"> </w:t>
      </w:r>
    </w:p>
    <w:p>
      <w:pPr>
        <w:pStyle w:val="Normal"/>
        <w:ind w:right="-2"/>
        <w:jc w:val="both"/>
        <w:rPr>
          <w:highlight w:val="none"/>
          <w:shd w:fill="auto" w:val="clear"/>
        </w:rPr>
      </w:pPr>
      <w:r>
        <w:rPr>
          <w:rFonts w:cs="Arial" w:ascii="Arial" w:hAnsi="Arial"/>
          <w:b/>
          <w:bCs/>
          <w:color w:val="000000"/>
          <w:sz w:val="22"/>
          <w:szCs w:val="22"/>
          <w:shd w:fill="auto" w:val="clear"/>
        </w:rPr>
        <w:t>3.8.1.</w:t>
      </w:r>
      <w:r>
        <w:rPr>
          <w:rFonts w:cs="Arial" w:ascii="Arial" w:hAnsi="Arial"/>
          <w:color w:val="000000"/>
          <w:sz w:val="22"/>
          <w:szCs w:val="22"/>
          <w:shd w:fill="auto" w:val="clear"/>
        </w:rPr>
        <w:t xml:space="preserve"> </w:t>
      </w:r>
      <w:r>
        <w:rPr>
          <w:rFonts w:cs="Arial" w:ascii="Arial" w:hAnsi="Arial"/>
          <w:bCs/>
          <w:color w:val="000000"/>
          <w:sz w:val="22"/>
          <w:szCs w:val="22"/>
          <w:shd w:fill="auto" w:val="clear"/>
        </w:rPr>
        <w:t xml:space="preserve">A </w:t>
      </w:r>
      <w:r>
        <w:rPr>
          <w:rFonts w:cs="Arial" w:ascii="Arial" w:hAnsi="Arial"/>
          <w:color w:val="000000"/>
          <w:sz w:val="22"/>
          <w:szCs w:val="22"/>
          <w:shd w:fill="auto" w:val="clear"/>
        </w:rPr>
        <w:t>CONTRATADA</w:t>
      </w:r>
      <w:r>
        <w:rPr>
          <w:rFonts w:cs="Arial" w:ascii="Arial" w:hAnsi="Arial"/>
          <w:bCs/>
          <w:color w:val="000000"/>
          <w:sz w:val="22"/>
          <w:szCs w:val="22"/>
          <w:shd w:fill="auto" w:val="clear"/>
        </w:rPr>
        <w:t xml:space="preserve"> compromete-se a atender aos chamados da CONTRATANTE no prazo máximo de 24 (vinte e quatro) horas, a partir do registro oficial do chamado. O atendimento deverá abranger todos os esclarecimentos requisitados e a resolução célere de eventuais reclamações.</w:t>
      </w:r>
    </w:p>
    <w:p>
      <w:pPr>
        <w:pStyle w:val="Normal"/>
        <w:ind w:right="-2"/>
        <w:jc w:val="both"/>
        <w:rPr>
          <w:highlight w:val="none"/>
          <w:shd w:fill="auto" w:val="clear"/>
        </w:rPr>
      </w:pPr>
      <w:r>
        <w:rPr>
          <w:rFonts w:cs="Arial" w:ascii="Arial" w:hAnsi="Arial"/>
          <w:b/>
          <w:bCs/>
          <w:color w:val="000000"/>
          <w:sz w:val="22"/>
          <w:szCs w:val="22"/>
          <w:shd w:fill="auto" w:val="clear"/>
        </w:rPr>
        <w:t>3.8.2.</w:t>
      </w:r>
      <w:r>
        <w:rPr>
          <w:color w:val="000000"/>
          <w:shd w:fill="auto" w:val="clear"/>
        </w:rPr>
        <w:t xml:space="preserve"> </w:t>
      </w:r>
      <w:r>
        <w:rPr>
          <w:rFonts w:cs="Arial" w:ascii="Arial" w:hAnsi="Arial"/>
          <w:color w:val="000000"/>
          <w:sz w:val="22"/>
          <w:szCs w:val="22"/>
          <w:shd w:fill="auto" w:val="clear"/>
        </w:rPr>
        <w:t>Para o registro de chamados de assistência e/ou suporte técnico, a CONTRATADA deverá disponibilizar, no mínimo, uma linha de atendimento telefônico. O suporte técnico deverá ser prestado em língua portuguesa, por equipe técnica especializada e certificada pela CONTRATADA.</w:t>
      </w:r>
    </w:p>
    <w:p>
      <w:pPr>
        <w:pStyle w:val="Normal"/>
        <w:ind w:right="-2"/>
        <w:jc w:val="both"/>
        <w:rPr>
          <w:rFonts w:ascii="Arial" w:hAnsi="Arial" w:cs="Arial"/>
          <w:bCs/>
          <w:color w:val="000000"/>
          <w:sz w:val="22"/>
          <w:szCs w:val="22"/>
        </w:rPr>
      </w:pPr>
      <w:r>
        <w:rPr>
          <w:rFonts w:cs="Arial" w:ascii="Arial" w:hAnsi="Arial"/>
          <w:bCs/>
          <w:color w:val="000000"/>
          <w:sz w:val="22"/>
          <w:szCs w:val="22"/>
        </w:rPr>
      </w:r>
    </w:p>
    <w:p>
      <w:pPr>
        <w:pStyle w:val="Normal"/>
        <w:ind w:right="-2"/>
        <w:jc w:val="both"/>
        <w:rPr>
          <w:color w:val="000000"/>
        </w:rPr>
      </w:pPr>
      <w:r>
        <w:rPr>
          <w:rFonts w:cs="Arial" w:ascii="Arial" w:hAnsi="Arial"/>
          <w:b/>
          <w:color w:val="000000"/>
          <w:sz w:val="22"/>
          <w:szCs w:val="22"/>
        </w:rPr>
        <w:t>3.9.</w:t>
      </w:r>
      <w:r>
        <w:rPr>
          <w:rFonts w:cs="Arial" w:ascii="Arial" w:hAnsi="Arial"/>
          <w:bCs/>
          <w:color w:val="000000"/>
          <w:sz w:val="22"/>
          <w:szCs w:val="22"/>
        </w:rPr>
        <w:t xml:space="preserve"> </w:t>
      </w:r>
      <w:r>
        <w:rPr>
          <w:rFonts w:cs="Arial" w:ascii="Arial" w:hAnsi="Arial"/>
          <w:b/>
          <w:color w:val="000000"/>
          <w:sz w:val="22"/>
          <w:szCs w:val="22"/>
        </w:rPr>
        <w:t>NECESSIDADE OU NÃO DE VISTORIA DOS LICITANTES AO LOCAL DE EXECUÇÃO DO OBJETO</w:t>
      </w:r>
      <w:r>
        <w:rPr>
          <w:rFonts w:cs="Arial" w:ascii="Arial" w:hAnsi="Arial"/>
          <w:bCs/>
          <w:color w:val="000000"/>
          <w:sz w:val="22"/>
          <w:szCs w:val="22"/>
        </w:rPr>
        <w:t>: Não se aplica.</w:t>
      </w:r>
    </w:p>
    <w:p>
      <w:pPr>
        <w:pStyle w:val="Normal"/>
        <w:ind w:right="-2"/>
        <w:jc w:val="both"/>
        <w:rPr>
          <w:rFonts w:ascii="Arial" w:hAnsi="Arial" w:cs="Arial"/>
          <w:bCs/>
          <w:color w:val="FF0000"/>
          <w:sz w:val="22"/>
          <w:szCs w:val="22"/>
        </w:rPr>
      </w:pPr>
      <w:r>
        <w:rPr>
          <w:rFonts w:cs="Arial" w:ascii="Arial" w:hAnsi="Arial"/>
          <w:bCs/>
          <w:color w:val="FF0000"/>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3.10. DA PARTICIPAÇÃO DE MEI'S, ME'S OU EPP'S: </w:t>
      </w:r>
    </w:p>
    <w:tbl>
      <w:tblPr>
        <w:tblStyle w:val="Tabelacomgrade"/>
        <w:tblW w:w="9233"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0"/>
        <w:gridCol w:w="8932"/>
      </w:tblGrid>
      <w:tr>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Cs/>
                <w:kern w:val="0"/>
                <w:sz w:val="22"/>
                <w:szCs w:val="22"/>
                <w:lang w:val="pt-BR" w:eastAsia="pt-BR" w:bidi="ar-SA"/>
              </w:rPr>
              <w:t>Contratação com itens exclusivos para os beneficiados (art. 48, I da LC 123/06);</w:t>
            </w:r>
          </w:p>
        </w:tc>
      </w:tr>
      <w:tr>
        <w:trPr/>
        <w:tc>
          <w:tcPr>
            <w:tcW w:w="300" w:type="dxa"/>
            <w:tcBorders>
              <w:top w:val="single" w:sz="12" w:space="0" w:color="000000"/>
              <w:left w:val="nil"/>
              <w:bottom w:val="single" w:sz="12" w:space="0" w:color="000000"/>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25" w:hRule="atLeast"/>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restart"/>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Cs/>
                <w:kern w:val="0"/>
                <w:sz w:val="22"/>
                <w:szCs w:val="22"/>
                <w:lang w:val="pt-BR" w:eastAsia="pt-BR" w:bidi="ar-SA"/>
              </w:rPr>
              <w:t>Reserva em objeto divisível de cota de até 25% para os beneficiários (art. 48, III da LC 123/06);</w:t>
            </w:r>
          </w:p>
        </w:tc>
      </w:tr>
      <w:tr>
        <w:trPr>
          <w:trHeight w:val="125" w:hRule="atLeast"/>
        </w:trPr>
        <w:tc>
          <w:tcPr>
            <w:tcW w:w="300" w:type="dxa"/>
            <w:tcBorders>
              <w:top w:val="single" w:sz="12" w:space="0" w:color="000000"/>
              <w:left w:val="nil"/>
              <w:bottom w:val="single" w:sz="12" w:space="0" w:color="000000"/>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continue"/>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73" w:hRule="atLeast"/>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restart"/>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bCs/>
                <w:kern w:val="0"/>
                <w:sz w:val="22"/>
                <w:szCs w:val="22"/>
                <w:lang w:val="pt-BR" w:eastAsia="pt-BR" w:bidi="ar-SA"/>
              </w:rPr>
              <w:t>Prioridade de contratação para as privilegiadas sediadas locais ou regionalmente, até o limite de 10% (dez por cento) do melhor preço válido (art. 48, § 3º, LC 123/06);</w:t>
            </w:r>
          </w:p>
        </w:tc>
      </w:tr>
      <w:tr>
        <w:trPr>
          <w:trHeight w:val="172" w:hRule="atLeast"/>
        </w:trPr>
        <w:tc>
          <w:tcPr>
            <w:tcW w:w="300" w:type="dxa"/>
            <w:tcBorders>
              <w:top w:val="single" w:sz="12" w:space="0" w:color="000000"/>
              <w:left w:val="nil"/>
              <w:bottom w:val="nil"/>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continue"/>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73" w:hRule="atLeast"/>
        </w:trPr>
        <w:tc>
          <w:tcPr>
            <w:tcW w:w="300" w:type="dxa"/>
            <w:tcBorders>
              <w:top w:val="nil"/>
              <w:left w:val="nil"/>
              <w:bottom w:val="single" w:sz="12" w:space="0" w:color="000000"/>
              <w:right w:val="nil"/>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tcBorders>
              <w:top w:val="nil"/>
              <w:left w:val="nil"/>
              <w:bottom w:val="nil"/>
              <w:right w:val="nil"/>
            </w:tcBorders>
          </w:tcPr>
          <w:p>
            <w:pPr>
              <w:pStyle w:val="Normal"/>
              <w:widowControl/>
              <w:spacing w:before="0" w:after="0"/>
              <w:ind w:right="-2"/>
              <w:jc w:val="both"/>
              <w:rPr>
                <w:rFonts w:ascii="Arial" w:hAnsi="Arial" w:cs="Arial"/>
                <w:bCs/>
                <w:sz w:val="22"/>
                <w:szCs w:val="22"/>
              </w:rPr>
            </w:pPr>
            <w:r>
              <w:rPr>
                <w:rFonts w:cs="Arial" w:ascii="Arial" w:hAnsi="Arial"/>
                <w:bCs/>
                <w:sz w:val="22"/>
                <w:szCs w:val="22"/>
              </w:rPr>
            </w:r>
          </w:p>
        </w:tc>
      </w:tr>
      <w:tr>
        <w:trPr>
          <w:trHeight w:val="178" w:hRule="atLeast"/>
        </w:trPr>
        <w:tc>
          <w:tcPr>
            <w:tcW w:w="300" w:type="dxa"/>
            <w:tcBorders>
              <w:top w:val="single" w:sz="12" w:space="0" w:color="000000"/>
              <w:left w:val="single" w:sz="12" w:space="0" w:color="000000"/>
              <w:bottom w:val="single" w:sz="12" w:space="0" w:color="000000"/>
              <w:right w:val="single" w:sz="12" w:space="0" w:color="000000"/>
            </w:tcBorders>
          </w:tcPr>
          <w:p>
            <w:pPr>
              <w:pStyle w:val="Normal"/>
              <w:widowControl/>
              <w:spacing w:before="0" w:after="0"/>
              <w:ind w:right="-2"/>
              <w:jc w:val="center"/>
              <w:rPr>
                <w:rFonts w:ascii="Arial" w:hAnsi="Arial" w:cs="Arial"/>
                <w:bCs/>
                <w:color w:val="FF0000"/>
                <w:sz w:val="22"/>
                <w:szCs w:val="22"/>
              </w:rPr>
            </w:pPr>
            <w:r>
              <w:rPr>
                <w:rFonts w:cs="Arial" w:ascii="Arial" w:hAnsi="Arial"/>
                <w:bCs/>
                <w:color w:val="FF0000"/>
                <w:sz w:val="22"/>
                <w:szCs w:val="22"/>
              </w:rPr>
            </w:r>
          </w:p>
        </w:tc>
        <w:tc>
          <w:tcPr>
            <w:tcW w:w="8932" w:type="dxa"/>
            <w:vMerge w:val="restart"/>
            <w:tcBorders>
              <w:top w:val="nil"/>
              <w:left w:val="single" w:sz="12" w:space="0" w:color="000000"/>
              <w:bottom w:val="nil"/>
              <w:right w:val="nil"/>
            </w:tcBorders>
          </w:tcPr>
          <w:p>
            <w:pPr>
              <w:pStyle w:val="Normal"/>
              <w:widowControl/>
              <w:spacing w:before="0" w:after="0"/>
              <w:ind w:right="-2"/>
              <w:jc w:val="both"/>
              <w:rPr>
                <w:rFonts w:ascii="Arial" w:hAnsi="Arial" w:cs="Arial"/>
                <w:sz w:val="22"/>
                <w:szCs w:val="22"/>
              </w:rPr>
            </w:pPr>
            <w:r>
              <w:rPr>
                <w:rFonts w:eastAsia="Times New Roman" w:cs="Arial" w:ascii="Arial" w:hAnsi="Arial"/>
                <w:kern w:val="0"/>
                <w:sz w:val="22"/>
                <w:szCs w:val="22"/>
                <w:lang w:val="pt-BR" w:eastAsia="pt-BR" w:bidi="ar-SA"/>
              </w:rPr>
              <w:t>Possibilidade de subcontratação das privilegiadas nas licitações destinadas à aquisição de obras e serviços (art. 48, I da LC 123/06).</w:t>
            </w:r>
          </w:p>
        </w:tc>
      </w:tr>
      <w:tr>
        <w:trPr>
          <w:trHeight w:val="177" w:hRule="atLeast"/>
        </w:trPr>
        <w:tc>
          <w:tcPr>
            <w:tcW w:w="300" w:type="dxa"/>
            <w:tcBorders>
              <w:top w:val="single" w:sz="12" w:space="0" w:color="000000"/>
              <w:left w:val="nil"/>
              <w:bottom w:val="nil"/>
              <w:right w:val="nil"/>
            </w:tcBorders>
          </w:tcPr>
          <w:p>
            <w:pPr>
              <w:pStyle w:val="Normal"/>
              <w:widowControl/>
              <w:spacing w:before="0" w:after="0"/>
              <w:ind w:right="-2"/>
              <w:jc w:val="both"/>
              <w:rPr>
                <w:rFonts w:ascii="Arial" w:hAnsi="Arial" w:cs="Arial"/>
                <w:bCs/>
                <w:color w:val="FF0000"/>
                <w:sz w:val="22"/>
                <w:szCs w:val="22"/>
              </w:rPr>
            </w:pPr>
            <w:r>
              <w:rPr>
                <w:rFonts w:cs="Arial" w:ascii="Arial" w:hAnsi="Arial"/>
                <w:bCs/>
                <w:color w:val="FF0000"/>
                <w:sz w:val="22"/>
                <w:szCs w:val="22"/>
              </w:rPr>
            </w:r>
          </w:p>
        </w:tc>
        <w:tc>
          <w:tcPr>
            <w:tcW w:w="8932" w:type="dxa"/>
            <w:vMerge w:val="continue"/>
            <w:tcBorders>
              <w:top w:val="nil"/>
              <w:left w:val="nil"/>
              <w:bottom w:val="nil"/>
              <w:right w:val="nil"/>
            </w:tcBorders>
          </w:tcPr>
          <w:p>
            <w:pPr>
              <w:pStyle w:val="Normal"/>
              <w:widowControl/>
              <w:spacing w:before="0" w:after="0"/>
              <w:ind w:right="-2"/>
              <w:jc w:val="both"/>
              <w:rPr>
                <w:rFonts w:ascii="Arial" w:hAnsi="Arial" w:cs="Arial"/>
                <w:sz w:val="22"/>
                <w:szCs w:val="22"/>
              </w:rPr>
            </w:pPr>
            <w:r>
              <w:rPr>
                <w:rFonts w:cs="Arial" w:ascii="Arial" w:hAnsi="Arial"/>
                <w:sz w:val="22"/>
                <w:szCs w:val="22"/>
              </w:rPr>
            </w:r>
          </w:p>
        </w:tc>
      </w:tr>
    </w:tbl>
    <w:p>
      <w:pPr>
        <w:pStyle w:val="Normal"/>
        <w:ind w:hanging="2" w:right="-2"/>
        <w:jc w:val="both"/>
        <w:rPr>
          <w:rFonts w:ascii="Arial" w:hAnsi="Arial" w:cs="Arial"/>
          <w:sz w:val="22"/>
          <w:szCs w:val="22"/>
        </w:rPr>
      </w:pPr>
      <w:r>
        <w:rPr>
          <w:rFonts w:cs="Arial" w:ascii="Arial" w:hAnsi="Arial"/>
          <w:b/>
          <w:bCs/>
          <w:sz w:val="22"/>
          <w:szCs w:val="22"/>
        </w:rPr>
        <w:t>3.10.1. JUSTIFICATIVA:</w:t>
      </w:r>
      <w:r>
        <w:rPr>
          <w:rFonts w:cs="Arial" w:ascii="Arial" w:hAnsi="Arial"/>
          <w:bCs/>
          <w:sz w:val="22"/>
          <w:szCs w:val="22"/>
        </w:rPr>
        <w:t xml:space="preserve"> </w:t>
      </w:r>
      <w:r>
        <w:rPr>
          <w:rFonts w:cs="Arial" w:ascii="Arial" w:hAnsi="Arial"/>
          <w:b/>
          <w:bCs/>
          <w:color w:val="000000"/>
          <w:sz w:val="22"/>
          <w:szCs w:val="22"/>
        </w:rPr>
        <w:t>Não se aplica.</w:t>
      </w:r>
    </w:p>
    <w:p>
      <w:pPr>
        <w:pStyle w:val="Normal"/>
        <w:ind w:hanging="2" w:right="-2"/>
        <w:jc w:val="both"/>
        <w:rPr>
          <w:rFonts w:ascii="Arial" w:hAnsi="Arial" w:cs="Arial"/>
          <w:sz w:val="22"/>
          <w:szCs w:val="22"/>
        </w:rPr>
      </w:pPr>
      <w:r>
        <w:rPr>
          <w:rFonts w:cs="Arial" w:ascii="Arial" w:hAnsi="Arial"/>
          <w:color w:val="000000"/>
          <w:sz w:val="22"/>
          <w:szCs w:val="22"/>
        </w:rPr>
        <w:t xml:space="preserve">A presente licitação será de livre concorrência sem reserva de cota para Microempresa e Empresa de Pequeno Porte, em que pese o disposto quanto aos benefícios previstos na Lei Complementar nº 123/2006 e no Decreto Municipal nº 3.443/. Justifica-se a não </w:t>
      </w:r>
      <w:r>
        <w:rPr>
          <w:rFonts w:cs="Arial" w:ascii="Arial" w:hAnsi="Arial"/>
          <w:sz w:val="22"/>
          <w:szCs w:val="22"/>
        </w:rPr>
        <w:t xml:space="preserve">realização de exclusividade e de cotas reservadas para Microempresas (ME) e Empresas de Pequeno Porte (EPP) na presente licitação, tendo em vista que, embora os itens estimados em valores inferiores a R$ 80.000,00 (oitenta mil reais) e aqueles acima desse montante possam ser segmentados por cotas, essa separação pode comprometer a execução eficiente do objeto contratado. No caso específico de serviços bancários, a imposição dessas restrições pode inviabilizar o certame, resultando em prejuízos administrativos e financeiros significativos, incluindo a necessidade de repetição do procedimento licitatório. Além disso, tal fragmentação dificulta a gestão e fiscalização do contrato. Dessa forma, a não exclusividade para ME e EPP se justifica com base no artigo 49, inciso III, da Lei Complementar n° 123/2006, que permite afastar o tratamento diferenciado quando este não for vantajoso para a Administração Pública ou representar prejuízo ao conjunto do objeto a ser contratado. O dispositivo legal estabelece: </w:t>
      </w:r>
      <w:r>
        <w:rPr>
          <w:rFonts w:cs="Arial" w:ascii="Arial" w:hAnsi="Arial"/>
          <w:i/>
          <w:iCs/>
          <w:sz w:val="22"/>
          <w:szCs w:val="22"/>
        </w:rPr>
        <w:t xml:space="preserve">Art. 49. Não se aplica o disposto nos arts. 47 e 48 desta Lei Complementar quando: III – o tratamento diferenciado e simplificado para as microempresas e empresas de pequeno porte não for vantajoso para a administração pública ou representar prejuízo ao conjunto ou complexo do objeto a ser contratado. </w:t>
      </w:r>
      <w:r>
        <w:rPr>
          <w:rFonts w:cs="Arial" w:ascii="Arial" w:hAnsi="Arial"/>
          <w:sz w:val="22"/>
          <w:szCs w:val="22"/>
        </w:rPr>
        <w:t>Embora o artigo 48 da mesma lei determine a realização de licitações destinadas exclusivamente a ME/EPP para itens de até R$ 80.000,00, bem como a reserva de até 25% do objeto em casos de bens e serviços de natureza divisível, essa obrigatoriedade não pode prevalecer sobre o interesse público, que deve ser preservado por meio dos princípios da competitividade, economicidade e eficiência, conforme preconizado no artigo 11 da Lei n° 14.133/2021. Importante destacar que a presente licitação não exclui a participação de ME/EPP, garantindo-lhes a aplicação do critério de desempate ficto, conforme previsto na legislação vigente: “Nas licitações do tipo menor preço, será assegurada, como critério de desempate, preferência de contratação para as microempresas e empresas de pequeno porte.” Portanto, a decisão de não aplicar exclusividade e cotas reservadas está devidamente fundamentada na legislação pertinente, preservando o interesse público e garantindo a obtenção da proposta mais vantajosa para a Administração.</w:t>
      </w:r>
    </w:p>
    <w:p>
      <w:pPr>
        <w:pStyle w:val="Normal"/>
        <w:ind w:hanging="2" w:right="-2"/>
        <w:jc w:val="both"/>
        <w:rPr>
          <w:rFonts w:ascii="Arial" w:hAnsi="Arial" w:cs="Arial"/>
          <w:color w:val="FF0000"/>
          <w:sz w:val="22"/>
          <w:szCs w:val="22"/>
        </w:rPr>
      </w:pPr>
      <w:r>
        <w:rPr>
          <w:rFonts w:cs="Arial" w:ascii="Arial" w:hAnsi="Arial"/>
          <w:color w:val="FF0000"/>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3.11. DA PARTICIPAÇÃO COOPERATIVAS: </w:t>
      </w:r>
      <w:r>
        <w:rPr>
          <w:rFonts w:cs="Arial" w:ascii="Arial" w:hAnsi="Arial"/>
          <w:sz w:val="22"/>
          <w:szCs w:val="22"/>
        </w:rPr>
        <w:t>Se aplicará a presente contratação a possibilidade de</w:t>
      </w:r>
      <w:r>
        <w:rPr>
          <w:rFonts w:cs="Arial" w:ascii="Arial" w:hAnsi="Arial"/>
          <w:b/>
          <w:sz w:val="22"/>
          <w:szCs w:val="22"/>
        </w:rPr>
        <w:t xml:space="preserve"> </w:t>
      </w:r>
      <w:r>
        <w:rPr>
          <w:rFonts w:cs="Arial" w:ascii="Arial" w:hAnsi="Arial"/>
          <w:sz w:val="22"/>
          <w:szCs w:val="22"/>
        </w:rPr>
        <w:t>participação de cooperativas desde que estas declarem que cumprem os requisitos estabelecidos no artigo 16 da Lei nº 14.133/2021.</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sz w:val="22"/>
          <w:szCs w:val="22"/>
        </w:rPr>
      </w:pPr>
      <w:r>
        <w:rPr>
          <w:rFonts w:cs="Arial" w:ascii="Arial" w:hAnsi="Arial"/>
          <w:b/>
          <w:sz w:val="22"/>
          <w:szCs w:val="22"/>
        </w:rPr>
        <w:t xml:space="preserve">3.12. DA PARTICIPAÇÃO DE CONSÓRCIOS: </w:t>
      </w:r>
      <w:r>
        <w:rPr>
          <w:rFonts w:cs="Arial" w:ascii="Arial" w:hAnsi="Arial"/>
          <w:sz w:val="22"/>
          <w:szCs w:val="22"/>
        </w:rPr>
        <w:t>Não será permitido a participação de empresas de forma consorciada, considerando a natureza comum do objeto, visto que no mercado se encontram várias empresas aptas a fornecer o objeto de forma isolada. Essa medida visa evitar a formação de oligopólios ou monopólios, fomentar a competição saudável, promover a transparência e responsabilização, além de reduzir potenciais conflitos de interesse. Dessa forma, busca-se garantir uma licitação competitiva, eficiente e em conformidade com os princípios fundamentais da Administração Pública.</w:t>
      </w:r>
    </w:p>
    <w:p>
      <w:pPr>
        <w:pStyle w:val="Normal"/>
        <w:ind w:hanging="2"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b/>
          <w:sz w:val="22"/>
          <w:szCs w:val="22"/>
        </w:rPr>
      </w:pPr>
      <w:r>
        <w:rPr>
          <w:rFonts w:cs="Arial" w:ascii="Arial" w:hAnsi="Arial"/>
          <w:b/>
          <w:sz w:val="22"/>
          <w:szCs w:val="22"/>
        </w:rPr>
        <w:t xml:space="preserve">3.13. DA SUBCONTRATAÇÃO: </w:t>
      </w:r>
      <w:r>
        <w:rPr>
          <w:rFonts w:cs="Arial" w:ascii="Arial" w:hAnsi="Arial"/>
          <w:bCs/>
          <w:sz w:val="22"/>
          <w:szCs w:val="22"/>
        </w:rPr>
        <w:t>Não será admitida a subcontratação do objeto licitatório, sem a competente, expressa e formal anuência da CONTRATANTE</w:t>
      </w:r>
      <w:r>
        <w:rPr>
          <w:rFonts w:cs="Arial" w:ascii="Arial" w:hAnsi="Arial"/>
          <w:b/>
          <w:sz w:val="22"/>
          <w:szCs w:val="22"/>
        </w:rPr>
        <w:t>.</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sz w:val="22"/>
          <w:szCs w:val="22"/>
        </w:rPr>
      </w:pPr>
      <w:r>
        <w:rPr>
          <w:rFonts w:cs="Arial" w:ascii="Arial" w:hAnsi="Arial"/>
          <w:b/>
          <w:sz w:val="22"/>
          <w:szCs w:val="22"/>
        </w:rPr>
        <w:t>3.14. DA DURAÇÃO DO CONTRATO:</w:t>
      </w:r>
    </w:p>
    <w:p>
      <w:pPr>
        <w:pStyle w:val="Normal"/>
        <w:ind w:hanging="2" w:right="-2"/>
        <w:jc w:val="both"/>
        <w:rPr>
          <w:rFonts w:ascii="Arial" w:hAnsi="Arial" w:cs="Arial"/>
          <w:b/>
          <w:bCs/>
          <w:color w:val="FF0000"/>
          <w:sz w:val="22"/>
          <w:szCs w:val="22"/>
        </w:rPr>
      </w:pPr>
      <w:r>
        <w:rPr>
          <w:rFonts w:cs="Arial" w:ascii="Arial" w:hAnsi="Arial"/>
          <w:sz w:val="22"/>
          <w:szCs w:val="22"/>
        </w:rPr>
        <w:t>3.14.1. Previsão de data em que deve ser assinado o instrumento contratual:</w:t>
      </w:r>
      <w:r>
        <w:rPr>
          <w:rFonts w:cs="Arial" w:ascii="Arial" w:hAnsi="Arial"/>
          <w:color w:val="000000"/>
          <w:sz w:val="22"/>
          <w:szCs w:val="22"/>
        </w:rPr>
        <w:t xml:space="preserve"> previsão para abril de 2025.</w:t>
      </w:r>
    </w:p>
    <w:p>
      <w:pPr>
        <w:pStyle w:val="Normal"/>
        <w:ind w:hanging="2" w:right="-2"/>
        <w:jc w:val="both"/>
        <w:rPr>
          <w:color w:val="000000"/>
        </w:rPr>
      </w:pPr>
      <w:r>
        <w:rPr>
          <w:rFonts w:cs="Arial" w:ascii="Arial" w:hAnsi="Arial"/>
          <w:color w:val="000000"/>
          <w:sz w:val="22"/>
          <w:szCs w:val="22"/>
        </w:rPr>
        <w:t>3.14.2. Estimada de disponibilização do bem/serviço: a</w:t>
      </w:r>
      <w:r>
        <w:rPr>
          <w:rFonts w:cs="Arial" w:ascii="Arial" w:hAnsi="Arial"/>
          <w:b w:val="false"/>
          <w:bCs w:val="false"/>
          <w:color w:val="000000"/>
          <w:sz w:val="22"/>
          <w:szCs w:val="22"/>
        </w:rPr>
        <w:t>bril</w:t>
      </w:r>
      <w:r>
        <w:rPr>
          <w:rFonts w:cs="Arial" w:ascii="Arial" w:hAnsi="Arial"/>
          <w:b w:val="false"/>
          <w:bCs w:val="false"/>
          <w:color w:val="000000"/>
          <w:sz w:val="22"/>
          <w:szCs w:val="22"/>
          <w:shd w:fill="auto" w:val="clear"/>
        </w:rPr>
        <w:t xml:space="preserve"> /2025.</w:t>
      </w:r>
    </w:p>
    <w:p>
      <w:pPr>
        <w:pStyle w:val="Normal"/>
        <w:ind w:hanging="2" w:right="-2"/>
        <w:jc w:val="both"/>
        <w:rPr>
          <w:highlight w:val="none"/>
          <w:shd w:fill="auto" w:val="clear"/>
        </w:rPr>
      </w:pPr>
      <w:r>
        <w:rPr>
          <w:rFonts w:cs="Arial" w:ascii="Arial" w:hAnsi="Arial"/>
          <w:sz w:val="22"/>
          <w:szCs w:val="22"/>
          <w:shd w:fill="auto" w:val="clear"/>
        </w:rPr>
        <w:t>3.14.3. Data início da execução: a partir da publicação do extrato do contrato no Diário Oficial do Município.</w:t>
      </w:r>
    </w:p>
    <w:p>
      <w:pPr>
        <w:pStyle w:val="Normal"/>
        <w:ind w:hanging="2" w:right="-2"/>
        <w:jc w:val="both"/>
        <w:rPr>
          <w:rFonts w:ascii="Arial" w:hAnsi="Arial" w:cs="Arial"/>
          <w:sz w:val="22"/>
          <w:szCs w:val="22"/>
        </w:rPr>
      </w:pPr>
      <w:r>
        <w:rPr>
          <w:rFonts w:cs="Arial" w:ascii="Arial" w:hAnsi="Arial"/>
          <w:sz w:val="22"/>
          <w:szCs w:val="22"/>
        </w:rPr>
        <w:t>3.14.4. Prazo de vigência</w:t>
      </w:r>
      <w:bookmarkStart w:id="1" w:name="_Hlk189497110"/>
      <w:r>
        <w:rPr>
          <w:rFonts w:cs="Arial" w:ascii="Arial" w:hAnsi="Arial"/>
          <w:sz w:val="22"/>
          <w:szCs w:val="22"/>
        </w:rPr>
        <w:t>: O prazo de vigência inicial do contrato é de 1 (um) ano, equivalente a 12 (doze) meses, a contar da publicação do extrato do contrato no Diário Oficial do Município, disponível em [</w:t>
      </w:r>
      <w:hyperlink r:id="rId2">
        <w:r>
          <w:rPr>
            <w:rStyle w:val="Hyperlink"/>
            <w:rFonts w:cs="Arial" w:ascii="Arial" w:hAnsi="Arial"/>
            <w:sz w:val="22"/>
            <w:szCs w:val="22"/>
          </w:rPr>
          <w:t>https://www.bandeirantes.pr.gov.br/diario-oficial-eletronico</w:t>
        </w:r>
      </w:hyperlink>
      <w:r>
        <w:rPr>
          <w:rFonts w:cs="Arial" w:ascii="Arial" w:hAnsi="Arial"/>
          <w:sz w:val="22"/>
          <w:szCs w:val="22"/>
        </w:rPr>
        <w:t>]. O contrato poderá ser prorrogado, nos termos dos artigos 405 e 406 do Decreto nº 3.537/2023, desde que sua prorrogação seja considerada vantajosa para a administração municipal.</w:t>
      </w:r>
      <w:bookmarkEnd w:id="1"/>
    </w:p>
    <w:p>
      <w:pPr>
        <w:pStyle w:val="Normal"/>
        <w:ind w:hanging="2" w:right="-2"/>
        <w:jc w:val="both"/>
        <w:rPr>
          <w:rFonts w:ascii="Arial" w:hAnsi="Arial" w:cs="Arial"/>
          <w:sz w:val="22"/>
          <w:szCs w:val="22"/>
        </w:rPr>
      </w:pPr>
      <w:r>
        <w:rPr>
          <w:rFonts w:cs="Arial" w:ascii="Arial" w:hAnsi="Arial"/>
          <w:sz w:val="22"/>
          <w:szCs w:val="22"/>
        </w:rPr>
        <w:t>3.14.5. Durante a vigência do contrato, a CONTRATADA ficará obrigada a manter seu cadastro, endereço eletrônico, telefone e responsável pelas operações, atualizados, situação que deve ser inserida em termo de referência como obrigação da CONTRATADA.</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b/>
          <w:bCs/>
          <w:sz w:val="22"/>
          <w:szCs w:val="22"/>
          <w:u w:val="single"/>
        </w:rPr>
      </w:pPr>
      <w:r>
        <w:rPr>
          <w:rFonts w:cs="Arial" w:ascii="Arial" w:hAnsi="Arial"/>
          <w:b/>
          <w:sz w:val="22"/>
          <w:szCs w:val="22"/>
        </w:rPr>
        <w:t>3.15.</w:t>
      </w:r>
      <w:r>
        <w:rPr>
          <w:rFonts w:cs="Arial" w:ascii="Arial" w:hAnsi="Arial"/>
          <w:b/>
          <w:bCs/>
          <w:sz w:val="22"/>
          <w:szCs w:val="22"/>
          <w:u w:val="single"/>
        </w:rPr>
        <w:t xml:space="preserve"> DO SIGILO DAS INFORMAÇÕES E DA PROTEÇÃO A DADOS PESSOAIS</w:t>
      </w:r>
    </w:p>
    <w:p>
      <w:pPr>
        <w:pStyle w:val="Normal"/>
        <w:ind w:hanging="2" w:right="-2"/>
        <w:jc w:val="both"/>
        <w:rPr>
          <w:rFonts w:ascii="Arial" w:hAnsi="Arial" w:cs="Arial"/>
          <w:sz w:val="22"/>
          <w:szCs w:val="22"/>
        </w:rPr>
      </w:pPr>
      <w:r>
        <w:rPr>
          <w:rFonts w:cs="Arial" w:ascii="Arial" w:hAnsi="Arial"/>
          <w:sz w:val="22"/>
          <w:szCs w:val="22"/>
        </w:rPr>
        <w:t>3.15.1. A CONTRATADA, em decorrência da execução do contrato, poderá ter acesso a dados, materiais, documentos e informações sigilosas. Nesses casos, a CONTRATADA compromete-se a manter absoluto sigilo sobre tais informações e a instruir seus colaboradores a fazerem o mesmo, em conformidade com a Lei nº 12.527/2011 (Lei de Acesso à Informação), Lei nº 13.709/2018 (Lei Geral de Proteção de Dados Pessoais - LGPD) e demais normas internas da CONTRATANTE aplicáveis à proteção de dados.</w:t>
      </w:r>
    </w:p>
    <w:p>
      <w:pPr>
        <w:pStyle w:val="Normal"/>
        <w:ind w:hanging="2" w:right="-2"/>
        <w:jc w:val="both"/>
        <w:rPr>
          <w:rFonts w:ascii="Arial" w:hAnsi="Arial" w:cs="Arial"/>
          <w:sz w:val="22"/>
          <w:szCs w:val="22"/>
        </w:rPr>
      </w:pPr>
      <w:r>
        <w:rPr>
          <w:rFonts w:cs="Arial" w:ascii="Arial" w:hAnsi="Arial"/>
          <w:sz w:val="22"/>
          <w:szCs w:val="22"/>
        </w:rPr>
        <w:t>3.15.2. Sempre que solicitado pelo Gestor do Contrato, a CONTRATADA deverá providenciar a assinatura, por seu representante legal e pelos profissionais com acesso a informações sigilosas, dos Termos de Confidencialidade fornecidos pela CONTRATANTE.</w:t>
      </w:r>
    </w:p>
    <w:p>
      <w:pPr>
        <w:pStyle w:val="Normal"/>
        <w:ind w:hanging="2" w:right="-2"/>
        <w:jc w:val="both"/>
        <w:rPr>
          <w:rFonts w:ascii="Arial" w:hAnsi="Arial" w:cs="Arial"/>
          <w:sz w:val="22"/>
          <w:szCs w:val="22"/>
        </w:rPr>
      </w:pPr>
      <w:r>
        <w:rPr>
          <w:rFonts w:cs="Arial" w:ascii="Arial" w:hAnsi="Arial"/>
          <w:sz w:val="22"/>
          <w:szCs w:val="22"/>
        </w:rPr>
        <w:t>3.15.3. As PARTES devem cumprir rigorosamente a LGPD, responsabilizando-se por qualquer violação à legislação de proteção de dados e privacidade nos tratamentos que realizarem, seja diretamente ou por meio de terceiros.</w:t>
      </w:r>
    </w:p>
    <w:p>
      <w:pPr>
        <w:pStyle w:val="Normal"/>
        <w:ind w:hanging="2" w:right="-2"/>
        <w:jc w:val="both"/>
        <w:rPr>
          <w:rFonts w:ascii="Arial" w:hAnsi="Arial" w:cs="Arial"/>
          <w:sz w:val="22"/>
          <w:szCs w:val="22"/>
        </w:rPr>
      </w:pPr>
      <w:r>
        <w:rPr>
          <w:rFonts w:cs="Arial" w:ascii="Arial" w:hAnsi="Arial"/>
          <w:sz w:val="22"/>
          <w:szCs w:val="22"/>
        </w:rPr>
        <w:t>3.15.4. Para os fins da LGPD, a CONTRATANTE atuará como Controladora dos dados pessoais, e a CONTRATADA atuará como Operadora, no tratamento de dados pessoais para a execução deste Contrato.</w:t>
      </w:r>
    </w:p>
    <w:p>
      <w:pPr>
        <w:pStyle w:val="Normal"/>
        <w:ind w:hanging="2" w:right="-2"/>
        <w:jc w:val="both"/>
        <w:rPr>
          <w:rFonts w:ascii="Arial" w:hAnsi="Arial" w:cs="Arial"/>
          <w:sz w:val="22"/>
          <w:szCs w:val="22"/>
        </w:rPr>
      </w:pPr>
      <w:r>
        <w:rPr>
          <w:rFonts w:cs="Arial" w:ascii="Arial" w:hAnsi="Arial"/>
          <w:sz w:val="22"/>
          <w:szCs w:val="22"/>
        </w:rPr>
        <w:t>3.15.5. A CONTRATADA deverá seguir rigorosamente as instruções e os limites estabelecidos pela CONTRATANTE para o tratamento de dados pessoais e informações sigilosas, bem como os requisitos e vedações estabelecidos pela LGPD e pela Lei de Acesso à Informação.</w:t>
      </w:r>
    </w:p>
    <w:p>
      <w:pPr>
        <w:pStyle w:val="Normal"/>
        <w:ind w:hanging="2" w:right="-2"/>
        <w:jc w:val="both"/>
        <w:rPr>
          <w:rFonts w:ascii="Arial" w:hAnsi="Arial" w:cs="Arial"/>
          <w:sz w:val="22"/>
          <w:szCs w:val="22"/>
        </w:rPr>
      </w:pPr>
      <w:r>
        <w:rPr>
          <w:rFonts w:cs="Arial" w:ascii="Arial" w:hAnsi="Arial"/>
          <w:sz w:val="22"/>
          <w:szCs w:val="22"/>
        </w:rPr>
        <w:t>3.15.6. O tratamento de dados pessoais e informações sigilosas realizado pela CONTRATADA em nome da CONTRATANTE deverá observar finalidades legítimas, explícitas e específicas, estritamente relacionadas à execução do objeto contratado.</w:t>
      </w:r>
    </w:p>
    <w:p>
      <w:pPr>
        <w:pStyle w:val="Normal"/>
        <w:ind w:hanging="2" w:right="-2"/>
        <w:jc w:val="both"/>
        <w:rPr>
          <w:rFonts w:ascii="Arial" w:hAnsi="Arial" w:cs="Arial"/>
          <w:sz w:val="22"/>
          <w:szCs w:val="22"/>
        </w:rPr>
      </w:pPr>
      <w:r>
        <w:rPr>
          <w:rFonts w:cs="Arial" w:ascii="Arial" w:hAnsi="Arial"/>
          <w:sz w:val="22"/>
          <w:szCs w:val="22"/>
        </w:rPr>
        <w:t>3.15.7. A CONTRATADA somente poderá compartilhar, conceder acesso ou realizar qualquer outro tratamento de dados pessoais e informações sigilosas para as finalidades estritamente necessárias à execução deste Contrato. Em caso de cumprimento de ordem judicial ou administrativa, a CONTRATANTE deverá ser informada sobre o compartilhamento dos dados pessoais em até 24 (vinte e quatro) horas após o recebimento da ordem pela CONTRATADA.</w:t>
      </w:r>
    </w:p>
    <w:p>
      <w:pPr>
        <w:pStyle w:val="Normal"/>
        <w:ind w:hanging="2" w:right="-2"/>
        <w:jc w:val="both"/>
        <w:rPr>
          <w:rFonts w:ascii="Arial" w:hAnsi="Arial" w:cs="Arial"/>
          <w:sz w:val="22"/>
          <w:szCs w:val="22"/>
        </w:rPr>
      </w:pPr>
      <w:r>
        <w:rPr>
          <w:rFonts w:cs="Arial" w:ascii="Arial" w:hAnsi="Arial"/>
          <w:sz w:val="22"/>
          <w:szCs w:val="22"/>
        </w:rPr>
        <w:t>3.15.8. A CONTRATADA é integralmente responsável por qualquer uso indevido de dados pessoais e informações sigilosas por seus empregados, prepostos ou prestadores de serviço.</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both"/>
        <w:rPr>
          <w:rFonts w:ascii="Arial" w:hAnsi="Arial" w:cs="Arial"/>
          <w:color w:val="FF0000"/>
          <w:sz w:val="22"/>
          <w:szCs w:val="22"/>
        </w:rPr>
      </w:pPr>
      <w:r>
        <w:rPr>
          <w:rFonts w:cs="Arial" w:ascii="Arial" w:hAnsi="Arial"/>
          <w:b/>
          <w:bCs/>
          <w:sz w:val="22"/>
          <w:szCs w:val="22"/>
        </w:rPr>
        <w:t>3.17. MATRIZ DE RIS</w:t>
      </w:r>
      <w:r>
        <w:rPr>
          <w:rFonts w:cs="Arial" w:ascii="Arial" w:hAnsi="Arial"/>
          <w:b/>
          <w:bCs/>
          <w:color w:val="000000"/>
          <w:sz w:val="22"/>
          <w:szCs w:val="22"/>
        </w:rPr>
        <w:t>CO</w:t>
      </w:r>
      <w:r>
        <w:rPr>
          <w:rFonts w:cs="Arial" w:ascii="Arial" w:hAnsi="Arial"/>
          <w:color w:val="000000"/>
          <w:sz w:val="22"/>
          <w:szCs w:val="22"/>
        </w:rPr>
        <w:t>:</w:t>
      </w:r>
      <w:r>
        <w:rPr>
          <w:rFonts w:cs="Arial" w:ascii="Arial" w:hAnsi="Arial"/>
          <w:color w:val="000000"/>
          <w:sz w:val="22"/>
          <w:szCs w:val="22"/>
          <w:shd w:fill="auto" w:val="clear"/>
        </w:rPr>
        <w:t xml:space="preserve"> Matriz de risco em anexo.</w:t>
      </w:r>
    </w:p>
    <w:p>
      <w:pPr>
        <w:pStyle w:val="Normal"/>
        <w:ind w:hanging="2" w:right="-2"/>
        <w:jc w:val="both"/>
        <w:rPr>
          <w:rFonts w:ascii="Arial" w:hAnsi="Arial" w:cs="Arial"/>
          <w:sz w:val="22"/>
          <w:szCs w:val="22"/>
        </w:rPr>
      </w:pPr>
      <w:r>
        <w:rPr>
          <w:rFonts w:cs="Arial" w:ascii="Arial" w:hAnsi="Arial"/>
          <w:sz w:val="22"/>
          <w:szCs w:val="22"/>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nil"/>
              <w:left w:val="nil"/>
              <w:bottom w:val="nil"/>
              <w:right w:val="nil"/>
            </w:tcBorders>
            <w:shd w:color="auto" w:fill="365F91" w:themeFill="accent1" w:themeFillShade="bf" w:val="clear"/>
          </w:tcPr>
          <w:p>
            <w:pPr>
              <w:pStyle w:val="Normal"/>
              <w:widowControl/>
              <w:spacing w:before="0" w:after="0"/>
              <w:ind w:right="-2"/>
              <w:jc w:val="both"/>
              <w:rPr>
                <w:rFonts w:ascii="Arial" w:hAnsi="Arial" w:cs="Arial"/>
                <w:sz w:val="22"/>
                <w:szCs w:val="22"/>
              </w:rPr>
            </w:pPr>
            <w:r>
              <w:rPr>
                <w:rFonts w:eastAsia="Times New Roman" w:cs="Arial" w:ascii="Arial" w:hAnsi="Arial"/>
                <w:b/>
                <w:bCs/>
                <w:color w:themeColor="background1" w:val="FFFFFF"/>
                <w:kern w:val="0"/>
                <w:sz w:val="22"/>
                <w:szCs w:val="22"/>
                <w:lang w:val="pt-BR" w:eastAsia="pt-BR" w:bidi="ar-SA"/>
              </w:rPr>
              <w:t>III - Prospecção de Soluções (artigo 15, §1º, V e VI):</w:t>
            </w:r>
          </w:p>
        </w:tc>
      </w:tr>
      <w:tr>
        <w:trPr/>
        <w:tc>
          <w:tcPr>
            <w:tcW w:w="9344" w:type="dxa"/>
            <w:tcBorders>
              <w:top w:val="nil"/>
              <w:left w:val="nil"/>
              <w:bottom w:val="single" w:sz="12" w:space="0" w:color="17365D"/>
              <w:right w:val="nil"/>
            </w:tcBorders>
            <w:shd w:color="auto" w:fill="FFFFFF" w:themeFill="background1" w:val="clear"/>
          </w:tcPr>
          <w:p>
            <w:pPr>
              <w:pStyle w:val="Normal"/>
              <w:widowControl/>
              <w:spacing w:before="0" w:after="0"/>
              <w:ind w:right="-2"/>
              <w:jc w:val="both"/>
              <w:rPr>
                <w:rFonts w:ascii="Arial" w:hAnsi="Arial" w:cs="Arial"/>
                <w:b/>
                <w:bCs/>
                <w:color w:themeColor="background1" w:val="FFFFFF"/>
                <w:sz w:val="22"/>
                <w:szCs w:val="22"/>
              </w:rPr>
            </w:pPr>
            <w:r>
              <w:rPr>
                <w:rFonts w:cs="Arial" w:ascii="Arial" w:hAnsi="Arial"/>
                <w:b/>
                <w:bCs/>
                <w:color w:themeColor="background1" w:val="FFFFFF"/>
                <w:sz w:val="22"/>
                <w:szCs w:val="22"/>
              </w:rPr>
            </w:r>
          </w:p>
        </w:tc>
      </w:tr>
      <w:tr>
        <w:trPr/>
        <w:tc>
          <w:tcPr>
            <w:tcW w:w="9344" w:type="dxa"/>
            <w:tcBorders>
              <w:top w:val="single" w:sz="12" w:space="0" w:color="17365D"/>
              <w:left w:val="single" w:sz="12" w:space="0" w:color="17365D"/>
              <w:bottom w:val="single" w:sz="12" w:space="0" w:color="17365D"/>
              <w:right w:val="single" w:sz="12" w:space="0" w:color="17365D"/>
            </w:tcBorders>
            <w:shd w:color="auto" w:fill="C6D9F1" w:themeFill="text2" w:themeFillTint="33" w:val="clear"/>
          </w:tcPr>
          <w:p>
            <w:pPr>
              <w:pStyle w:val="ListParagraph"/>
              <w:widowControl/>
              <w:numPr>
                <w:ilvl w:val="0"/>
                <w:numId w:val="2"/>
              </w:numPr>
              <w:tabs>
                <w:tab w:val="clear" w:pos="720"/>
                <w:tab w:val="left" w:pos="320" w:leader="none"/>
              </w:tabs>
              <w:spacing w:before="0" w:after="0"/>
              <w:ind w:hanging="2" w:left="0" w:right="-2"/>
              <w:contextualSpacing/>
              <w:jc w:val="both"/>
              <w:rPr>
                <w:rFonts w:ascii="Arial" w:hAnsi="Arial" w:cs="Arial"/>
                <w:sz w:val="22"/>
                <w:szCs w:val="22"/>
              </w:rPr>
            </w:pPr>
            <w:r>
              <w:rPr>
                <w:rFonts w:eastAsia="Times New Roman" w:cs="Arial" w:ascii="Arial" w:hAnsi="Arial"/>
                <w:b/>
                <w:bCs/>
                <w:kern w:val="0"/>
                <w:sz w:val="22"/>
                <w:szCs w:val="22"/>
                <w:lang w:val="pt-BR" w:eastAsia="pt-BR" w:bidi="ar-SA"/>
              </w:rPr>
              <w:t>Levantamento de Mercado (artigo 15, §1º V, do Decreto nº 3.537/2023):</w:t>
            </w:r>
          </w:p>
        </w:tc>
      </w:tr>
    </w:tbl>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sz w:val="22"/>
          <w:szCs w:val="22"/>
        </w:rPr>
      </w:pPr>
      <w:r>
        <w:rPr>
          <w:rFonts w:cs="Arial" w:ascii="Arial" w:hAnsi="Arial"/>
          <w:sz w:val="22"/>
          <w:szCs w:val="22"/>
        </w:rPr>
        <w:t xml:space="preserve">A Lei nº 14.133/2021 (Nova Lei de Licitações e Contratos Administrativos) exige, em seu artigo 18, uma fase preparatória robusta, contemplando análises técnicas, mercadológicas e de gestão que assegurem a viabilidade e a eficiência da contratação. </w:t>
      </w:r>
    </w:p>
    <w:p>
      <w:pPr>
        <w:pStyle w:val="Normal"/>
        <w:spacing w:lineRule="auto" w:line="240"/>
        <w:ind w:hanging="2" w:left="0"/>
        <w:jc w:val="both"/>
        <w:rPr/>
      </w:pPr>
      <w:r>
        <w:rPr>
          <w:rFonts w:ascii="Arial" w:hAnsi="Arial"/>
          <w:sz w:val="22"/>
          <w:szCs w:val="22"/>
        </w:rPr>
        <w:t>O levantamento de mercado desempenha um papel crucial na tomada de decisões, permitindo avaliar alternativas disponíveis e fundamentar a escolha de uma solução específica. No caso da contratação em questão, não é necessário realizar uma análise de cenários além da execução indireta dos serviços.</w:t>
      </w:r>
    </w:p>
    <w:p>
      <w:pPr>
        <w:pStyle w:val="Normal"/>
        <w:spacing w:lineRule="auto" w:line="240"/>
        <w:ind w:hanging="2" w:left="0"/>
        <w:jc w:val="both"/>
        <w:rPr>
          <w:rFonts w:ascii="Arial" w:hAnsi="Arial"/>
        </w:rPr>
      </w:pPr>
      <w:r>
        <w:rPr>
          <w:rFonts w:ascii="Arial" w:hAnsi="Arial"/>
          <w:sz w:val="22"/>
          <w:szCs w:val="22"/>
        </w:rPr>
        <w:t>O município não possui compras semelhantes ao objeto deste estudo. No entanto, com base nos fundamentos apresentados e na justificativa do estudo preliminar, a aquisição do trator melhorará o desempenho do serviço público. Isso ocorrerá por meio da recuperação de estradas vicinais, proporcionando mais segurança para agricultores, munícipes e transeuntes que circulam pela região e pela zona rural do município.</w:t>
      </w:r>
    </w:p>
    <w:p>
      <w:pPr>
        <w:pStyle w:val="Normal"/>
        <w:spacing w:lineRule="auto" w:line="240"/>
        <w:ind w:hanging="2" w:left="0"/>
        <w:jc w:val="both"/>
        <w:rPr>
          <w:sz w:val="22"/>
          <w:szCs w:val="22"/>
        </w:rPr>
      </w:pPr>
      <w:r>
        <w:rPr>
          <w:rFonts w:ascii="Arial" w:hAnsi="Arial"/>
          <w:sz w:val="22"/>
          <w:szCs w:val="22"/>
        </w:rPr>
        <w:t xml:space="preserve">Os recursos financeiros para suportar o objeto serão provenientes do termo de convênio nº </w:t>
      </w:r>
      <w:r>
        <w:rPr>
          <w:rFonts w:ascii="Arial" w:hAnsi="Arial"/>
          <w:b/>
          <w:bCs/>
          <w:sz w:val="22"/>
          <w:szCs w:val="22"/>
        </w:rPr>
        <w:t>956766/2024,</w:t>
      </w:r>
      <w:r>
        <w:rPr>
          <w:rFonts w:cs="Arial" w:ascii="Arial" w:hAnsi="Arial"/>
          <w:b/>
          <w:bCs/>
          <w:sz w:val="24"/>
          <w:szCs w:val="24"/>
        </w:rPr>
        <w:t xml:space="preserve"> Proposta 7313/2024</w:t>
      </w:r>
      <w:r>
        <w:rPr>
          <w:rFonts w:cs="Arial" w:ascii="Arial" w:hAnsi="Arial"/>
          <w:b w:val="false"/>
          <w:bCs w:val="false"/>
          <w:sz w:val="24"/>
          <w:szCs w:val="24"/>
        </w:rPr>
        <w:t>, na Plataforma Transferegov</w:t>
      </w:r>
      <w:r>
        <w:rPr>
          <w:rFonts w:ascii="Arial" w:hAnsi="Arial"/>
          <w:sz w:val="22"/>
          <w:szCs w:val="22"/>
        </w:rPr>
        <w:t xml:space="preserve"> entre a Prefeitura Municipal de Bandeirantes-PR e o Ministério da Agricultura e Pecuária, na plataforma Transferegov. Esse valor será subdividido em </w:t>
      </w:r>
      <w:r>
        <w:rPr>
          <w:rFonts w:ascii="Arial" w:hAnsi="Arial"/>
          <w:b/>
          <w:bCs/>
          <w:sz w:val="22"/>
          <w:szCs w:val="22"/>
        </w:rPr>
        <w:t>R$ 200.550,00</w:t>
      </w:r>
      <w:r>
        <w:rPr>
          <w:rFonts w:ascii="Arial" w:hAnsi="Arial"/>
          <w:sz w:val="22"/>
          <w:szCs w:val="22"/>
        </w:rPr>
        <w:t xml:space="preserve"> </w:t>
      </w:r>
      <w:r>
        <w:rPr>
          <w:rFonts w:ascii="Arial" w:hAnsi="Arial"/>
          <w:b/>
          <w:bCs/>
          <w:sz w:val="22"/>
          <w:szCs w:val="22"/>
        </w:rPr>
        <w:t>de repasse do Ministério do Agricultura e Pecuária e R$ 8.560,00 de contrapartida municipal, totalizando R$ 209.110,00.</w:t>
      </w:r>
    </w:p>
    <w:p>
      <w:pPr>
        <w:pStyle w:val="Normal"/>
        <w:spacing w:lineRule="auto" w:line="240"/>
        <w:ind w:hanging="2" w:left="0"/>
        <w:jc w:val="both"/>
        <w:rPr>
          <w:rFonts w:ascii="Arial" w:hAnsi="Arial"/>
        </w:rPr>
      </w:pPr>
      <w:r>
        <w:rPr>
          <w:rFonts w:ascii="Arial" w:hAnsi="Arial"/>
          <w:sz w:val="22"/>
          <w:szCs w:val="22"/>
        </w:rPr>
        <w:t>O levantamento de mercado está adstrito à forma como a escolha do fornecedor será feita e à identificação da estimativa do valor da contratação. A decisão de aquisição decorre da adesão do Município ao convênio mencionado anteriormente, onde o quantitativo já foi previamente definido em plano de trabalho.</w:t>
      </w:r>
    </w:p>
    <w:p>
      <w:pPr>
        <w:pStyle w:val="Normal"/>
        <w:spacing w:lineRule="auto" w:line="240"/>
        <w:ind w:hanging="2" w:left="0"/>
        <w:jc w:val="both"/>
        <w:rPr>
          <w:rFonts w:ascii="Arial" w:hAnsi="Arial"/>
        </w:rPr>
      </w:pPr>
      <w:r>
        <w:rPr>
          <w:rFonts w:ascii="Arial" w:hAnsi="Arial"/>
          <w:sz w:val="22"/>
          <w:szCs w:val="22"/>
        </w:rPr>
        <w:t>O objeto demandado possui contratações similares feitas por outros órgãos e entidades públicas, portanto, não é uma demanda exclusiva ou estranha ao mercado. Existem diversas empresas especializadas cujo ramo de atividade é compatível com o objeto pretendido.</w:t>
      </w:r>
    </w:p>
    <w:p>
      <w:pPr>
        <w:pStyle w:val="Normal"/>
        <w:spacing w:lineRule="auto" w:line="240"/>
        <w:ind w:hanging="0" w:left="0"/>
        <w:jc w:val="both"/>
        <w:rPr>
          <w:sz w:val="22"/>
          <w:szCs w:val="22"/>
        </w:rPr>
      </w:pPr>
      <w:r>
        <w:rPr>
          <w:rFonts w:ascii="Arial" w:hAnsi="Arial"/>
          <w:sz w:val="22"/>
          <w:szCs w:val="22"/>
        </w:rPr>
        <w:t>Quando da análise de contratações similares feitas por outros órgãos e entidades, por meio de consultas a outros editais, com objetivo de identificar a existência de novas metodologias, tecnologias ou inovações que melhor atendessem às necessidades da Administração, não se observou maiores variações quanto ao objeto, apenas a modalidade de licitação aplicada a cada caso.</w:t>
      </w:r>
    </w:p>
    <w:p>
      <w:pPr>
        <w:pStyle w:val="Normal"/>
        <w:ind w:right="-2"/>
        <w:jc w:val="both"/>
        <w:rPr>
          <w:rFonts w:ascii="Arial" w:hAnsi="Arial"/>
        </w:rPr>
      </w:pPr>
      <w:r>
        <w:rPr>
          <w:rFonts w:cs="Arial" w:ascii="Arial" w:hAnsi="Arial"/>
          <w:sz w:val="22"/>
          <w:szCs w:val="22"/>
        </w:rPr>
        <w:t>O levantamento de mercado, em especial quanto a análises técnicas e mercadológicas a exemplo de consulta efetuada perante a fornecedores e também no site do Portal Nacional de Contratações Públicas – PNCP, vejamos nas tabelas abaixo:</w:t>
      </w:r>
    </w:p>
    <w:p>
      <w:pPr>
        <w:pStyle w:val="Normal"/>
        <w:ind w:right="-2"/>
        <w:jc w:val="both"/>
        <w:rPr>
          <w:rFonts w:ascii="Arial" w:hAnsi="Arial"/>
        </w:rPr>
      </w:pPr>
      <w:r>
        <w:rPr>
          <w:rFonts w:ascii="Arial" w:hAnsi="Arial"/>
        </w:rPr>
      </w:r>
    </w:p>
    <w:tbl>
      <w:tblPr>
        <w:tblStyle w:val="Tabelacomgrade"/>
        <w:tblW w:w="935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1133"/>
        <w:gridCol w:w="2434"/>
        <w:gridCol w:w="1702"/>
        <w:gridCol w:w="2547"/>
        <w:gridCol w:w="1540"/>
      </w:tblGrid>
      <w:tr>
        <w:trPr>
          <w:trHeight w:val="431" w:hRule="atLeast"/>
        </w:trPr>
        <w:tc>
          <w:tcPr>
            <w:tcW w:w="9356" w:type="dxa"/>
            <w:gridSpan w:val="5"/>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kern w:val="0"/>
                <w:sz w:val="22"/>
                <w:szCs w:val="22"/>
                <w:lang w:val="pt-BR" w:eastAsia="pt-BR" w:bidi="ar-SA"/>
              </w:rPr>
              <w:t>RELAÇÃO DOS FORNECEDORES CONSULTADOS</w:t>
            </w:r>
          </w:p>
        </w:tc>
      </w:tr>
      <w:tr>
        <w:trPr/>
        <w:tc>
          <w:tcPr>
            <w:tcW w:w="1133" w:type="dxa"/>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bCs/>
                <w:color w:val="000000"/>
                <w:kern w:val="0"/>
                <w:sz w:val="22"/>
                <w:szCs w:val="22"/>
                <w:lang w:val="pt-BR" w:eastAsia="pt-BR" w:bidi="ar-SA"/>
              </w:rPr>
              <w:t>EMPRESA</w:t>
            </w:r>
          </w:p>
        </w:tc>
        <w:tc>
          <w:tcPr>
            <w:tcW w:w="2434" w:type="dxa"/>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bCs/>
                <w:color w:val="000000"/>
                <w:kern w:val="0"/>
                <w:sz w:val="22"/>
                <w:szCs w:val="22"/>
                <w:lang w:val="pt-BR" w:eastAsia="pt-BR" w:bidi="ar-SA"/>
              </w:rPr>
              <w:t>E-MAIL</w:t>
            </w:r>
          </w:p>
        </w:tc>
        <w:tc>
          <w:tcPr>
            <w:tcW w:w="1702" w:type="dxa"/>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bCs/>
                <w:color w:val="000000"/>
                <w:kern w:val="0"/>
                <w:sz w:val="22"/>
                <w:szCs w:val="22"/>
                <w:lang w:val="pt-BR" w:eastAsia="pt-BR" w:bidi="ar-SA"/>
              </w:rPr>
              <w:t>TELEFONE</w:t>
            </w:r>
          </w:p>
        </w:tc>
        <w:tc>
          <w:tcPr>
            <w:tcW w:w="2547" w:type="dxa"/>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bCs/>
                <w:color w:val="000000"/>
                <w:kern w:val="0"/>
                <w:sz w:val="22"/>
                <w:szCs w:val="22"/>
                <w:lang w:val="pt-BR" w:eastAsia="pt-BR" w:bidi="ar-SA"/>
              </w:rPr>
              <w:t>CONTATO</w:t>
            </w:r>
          </w:p>
        </w:tc>
        <w:tc>
          <w:tcPr>
            <w:tcW w:w="1540" w:type="dxa"/>
            <w:tcBorders/>
            <w:vAlign w:val="center"/>
          </w:tcPr>
          <w:p>
            <w:pPr>
              <w:pStyle w:val="ListParagraph"/>
              <w:widowControl/>
              <w:suppressAutoHyphens w:val="true"/>
              <w:spacing w:before="0" w:after="0"/>
              <w:ind w:hanging="0" w:left="0"/>
              <w:contextualSpacing/>
              <w:jc w:val="center"/>
              <w:rPr>
                <w:rFonts w:ascii="Arial" w:hAnsi="Arial"/>
              </w:rPr>
            </w:pPr>
            <w:r>
              <w:rPr>
                <w:rFonts w:eastAsia="Times New Roman" w:cs="Times New Roman" w:ascii="Arial" w:hAnsi="Arial"/>
                <w:b/>
                <w:bCs/>
                <w:color w:val="000000"/>
                <w:kern w:val="0"/>
                <w:sz w:val="22"/>
                <w:szCs w:val="22"/>
                <w:lang w:val="pt-BR" w:eastAsia="pt-BR" w:bidi="ar-SA"/>
              </w:rPr>
              <w:t>FORNECEU COTAÇÃO?</w:t>
            </w:r>
          </w:p>
        </w:tc>
      </w:tr>
      <w:tr>
        <w:trPr>
          <w:trHeight w:val="300" w:hRule="atLeast"/>
        </w:trPr>
        <w:tc>
          <w:tcPr>
            <w:tcW w:w="1133"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b/>
                <w:bCs/>
                <w:color w:val="000000"/>
                <w:sz w:val="16"/>
                <w:szCs w:val="16"/>
              </w:rPr>
              <w:t>1</w:t>
            </w:r>
          </w:p>
        </w:tc>
        <w:tc>
          <w:tcPr>
            <w:tcW w:w="2434"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FF"/>
                <w:sz w:val="16"/>
                <w:szCs w:val="16"/>
                <w:u w:val="single"/>
              </w:rPr>
              <w:t>www.yanmaq.com.br</w:t>
            </w:r>
          </w:p>
        </w:tc>
        <w:tc>
          <w:tcPr>
            <w:tcW w:w="1702"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563C1"/>
                <w:sz w:val="16"/>
                <w:szCs w:val="16"/>
              </w:rPr>
              <w:t>47-99142-0187</w:t>
            </w:r>
          </w:p>
        </w:tc>
        <w:tc>
          <w:tcPr>
            <w:tcW w:w="2547"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00"/>
                <w:sz w:val="16"/>
                <w:szCs w:val="16"/>
                <w:u w:val="single"/>
              </w:rPr>
              <w:t>Yanmaq Maquinas e Soluções Agrícolas, Av. Brasilia, 4311 – Jd Paulista – LONDRINA/PR -CNPJ: 47.862.993/0002-55 –</w:t>
            </w:r>
          </w:p>
          <w:p>
            <w:pPr>
              <w:pStyle w:val="Normal"/>
              <w:widowControl/>
              <w:suppressAutoHyphens w:val="false"/>
              <w:spacing w:lineRule="auto" w:line="240" w:before="0" w:after="0"/>
              <w:ind w:hanging="0" w:left="0"/>
              <w:jc w:val="left"/>
              <w:textAlignment w:val="auto"/>
              <w:rPr>
                <w:rFonts w:ascii="Arial" w:hAnsi="Arial"/>
              </w:rPr>
            </w:pPr>
            <w:r>
              <w:rPr>
                <w:rFonts w:ascii="Arial" w:hAnsi="Arial"/>
              </w:rPr>
            </w:r>
          </w:p>
        </w:tc>
        <w:tc>
          <w:tcPr>
            <w:tcW w:w="1540" w:type="dxa"/>
            <w:tcBorders/>
            <w:vAlign w:val="center"/>
          </w:tcPr>
          <w:p>
            <w:pPr>
              <w:pStyle w:val="Normal"/>
              <w:widowControl/>
              <w:suppressAutoHyphens w:val="false"/>
              <w:spacing w:lineRule="auto" w:line="240" w:before="0" w:after="0"/>
              <w:ind w:hanging="0" w:left="0"/>
              <w:jc w:val="center"/>
              <w:textAlignment w:val="auto"/>
              <w:rPr>
                <w:rFonts w:ascii="Arial" w:hAnsi="Arial"/>
              </w:rPr>
            </w:pPr>
            <w:r>
              <w:rPr>
                <w:rFonts w:eastAsia="Times New Roman" w:cs="Times New Roman" w:ascii="Arial" w:hAnsi="Arial"/>
                <w:color w:val="000000"/>
                <w:kern w:val="0"/>
                <w:sz w:val="16"/>
                <w:szCs w:val="16"/>
                <w:lang w:val="pt-BR" w:eastAsia="pt-BR" w:bidi="ar-SA"/>
              </w:rPr>
              <w:t>sim</w:t>
            </w:r>
          </w:p>
        </w:tc>
      </w:tr>
      <w:tr>
        <w:trPr>
          <w:trHeight w:val="300" w:hRule="atLeast"/>
        </w:trPr>
        <w:tc>
          <w:tcPr>
            <w:tcW w:w="1133"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b/>
                <w:bCs/>
                <w:color w:val="000000"/>
                <w:sz w:val="16"/>
                <w:szCs w:val="16"/>
              </w:rPr>
              <w:t>2</w:t>
            </w:r>
          </w:p>
        </w:tc>
        <w:tc>
          <w:tcPr>
            <w:tcW w:w="2434"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FF"/>
                <w:sz w:val="16"/>
                <w:szCs w:val="16"/>
                <w:u w:val="single"/>
              </w:rPr>
              <w:t>www.agricase.com.br</w:t>
            </w:r>
          </w:p>
        </w:tc>
        <w:tc>
          <w:tcPr>
            <w:tcW w:w="1702"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00"/>
                <w:sz w:val="16"/>
                <w:szCs w:val="16"/>
                <w:u w:val="single"/>
              </w:rPr>
              <w:t>43-3133-8199</w:t>
            </w:r>
          </w:p>
        </w:tc>
        <w:tc>
          <w:tcPr>
            <w:tcW w:w="2547"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00"/>
                <w:sz w:val="16"/>
                <w:szCs w:val="16"/>
                <w:u w:val="single"/>
              </w:rPr>
              <w:t>Agricase Equipamentos Agricolas Ltda – Rodovia Melo Peixoto, BR 369, KM 8, nº1.401, CORNELIO PROCOPIO-PR – CNPJ 05.444.853/0009-93</w:t>
            </w:r>
          </w:p>
          <w:p>
            <w:pPr>
              <w:pStyle w:val="Normal"/>
              <w:widowControl/>
              <w:suppressAutoHyphens w:val="false"/>
              <w:spacing w:lineRule="auto" w:line="240" w:before="0" w:after="0"/>
              <w:ind w:hanging="0" w:left="0"/>
              <w:jc w:val="left"/>
              <w:textAlignment w:val="auto"/>
              <w:rPr>
                <w:rFonts w:ascii="Arial" w:hAnsi="Arial"/>
              </w:rPr>
            </w:pPr>
            <w:r>
              <w:rPr>
                <w:rFonts w:ascii="Arial" w:hAnsi="Arial"/>
              </w:rPr>
            </w:r>
          </w:p>
        </w:tc>
        <w:tc>
          <w:tcPr>
            <w:tcW w:w="1540" w:type="dxa"/>
            <w:tcBorders/>
            <w:vAlign w:val="center"/>
          </w:tcPr>
          <w:p>
            <w:pPr>
              <w:pStyle w:val="Normal"/>
              <w:widowControl/>
              <w:suppressAutoHyphens w:val="false"/>
              <w:spacing w:lineRule="auto" w:line="240" w:before="0" w:after="0"/>
              <w:ind w:hanging="0" w:left="0"/>
              <w:jc w:val="center"/>
              <w:textAlignment w:val="auto"/>
              <w:rPr>
                <w:rFonts w:ascii="Arial" w:hAnsi="Arial"/>
              </w:rPr>
            </w:pPr>
            <w:r>
              <w:rPr>
                <w:rFonts w:eastAsia="Times New Roman" w:cs="Times New Roman" w:ascii="Arial" w:hAnsi="Arial"/>
                <w:color w:val="000000"/>
                <w:kern w:val="0"/>
                <w:sz w:val="16"/>
                <w:szCs w:val="16"/>
                <w:lang w:val="pt-BR" w:eastAsia="pt-BR" w:bidi="ar-SA"/>
              </w:rPr>
              <w:t>sim</w:t>
            </w:r>
          </w:p>
        </w:tc>
      </w:tr>
      <w:tr>
        <w:trPr>
          <w:trHeight w:val="300" w:hRule="atLeast"/>
        </w:trPr>
        <w:tc>
          <w:tcPr>
            <w:tcW w:w="1133"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b/>
                <w:bCs/>
                <w:color w:val="000000"/>
                <w:sz w:val="16"/>
                <w:szCs w:val="16"/>
              </w:rPr>
              <w:t>3</w:t>
            </w:r>
          </w:p>
        </w:tc>
        <w:tc>
          <w:tcPr>
            <w:tcW w:w="2434" w:type="dxa"/>
            <w:tcBorders/>
            <w:vAlign w:val="center"/>
          </w:tcPr>
          <w:p>
            <w:pPr>
              <w:pStyle w:val="Normal"/>
              <w:widowControl/>
              <w:suppressAutoHyphens w:val="false"/>
              <w:spacing w:lineRule="auto" w:line="240" w:before="0" w:after="0"/>
              <w:ind w:hanging="0" w:left="0"/>
              <w:jc w:val="left"/>
              <w:textAlignment w:val="auto"/>
              <w:rPr/>
            </w:pPr>
            <w:r>
              <w:rPr>
                <w:rStyle w:val="Hyperlink"/>
                <w:rFonts w:ascii="Arial" w:hAnsi="Arial"/>
                <w:color w:val="000000"/>
                <w:sz w:val="16"/>
                <w:szCs w:val="16"/>
                <w:u w:val="single"/>
              </w:rPr>
              <w:t>cprocopio@dismatratores.com.br</w:t>
            </w:r>
          </w:p>
          <w:p>
            <w:pPr>
              <w:pStyle w:val="Normal"/>
              <w:widowControl/>
              <w:suppressAutoHyphens w:val="false"/>
              <w:spacing w:lineRule="auto" w:line="240" w:before="0" w:after="0"/>
              <w:ind w:hanging="0" w:left="0"/>
              <w:jc w:val="left"/>
              <w:textAlignment w:val="auto"/>
              <w:rPr>
                <w:rFonts w:ascii="Arial" w:hAnsi="Arial"/>
                <w:color w:val="000000"/>
                <w:sz w:val="24"/>
              </w:rPr>
            </w:pPr>
            <w:r>
              <w:rPr>
                <w:rFonts w:ascii="Arial" w:hAnsi="Arial"/>
                <w:color w:val="000000"/>
                <w:sz w:val="24"/>
              </w:rPr>
            </w:r>
          </w:p>
        </w:tc>
        <w:tc>
          <w:tcPr>
            <w:tcW w:w="1702"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00"/>
                <w:sz w:val="16"/>
                <w:szCs w:val="16"/>
                <w:u w:val="single"/>
              </w:rPr>
              <w:t>43) 3133-3075</w:t>
            </w:r>
          </w:p>
        </w:tc>
        <w:tc>
          <w:tcPr>
            <w:tcW w:w="2547" w:type="dxa"/>
            <w:tcBorders/>
            <w:vAlign w:val="center"/>
          </w:tcPr>
          <w:p>
            <w:pPr>
              <w:pStyle w:val="Normal"/>
              <w:widowControl/>
              <w:suppressAutoHyphens w:val="false"/>
              <w:spacing w:lineRule="auto" w:line="240" w:before="0" w:after="0"/>
              <w:ind w:hanging="0" w:left="0"/>
              <w:jc w:val="left"/>
              <w:textAlignment w:val="auto"/>
              <w:rPr>
                <w:rFonts w:ascii="Arial" w:hAnsi="Arial"/>
              </w:rPr>
            </w:pPr>
            <w:r>
              <w:rPr>
                <w:rFonts w:ascii="Arial" w:hAnsi="Arial"/>
                <w:color w:val="000000"/>
                <w:sz w:val="16"/>
                <w:szCs w:val="16"/>
                <w:u w:val="single"/>
              </w:rPr>
              <w:t>Disma Distribuidora de Máquinas, Tratores e Implementos Agrícolas LTDA - Av. Nossa Sra. de Fátima, 763 - Conj. Rosário Pitelli, Cornélio Procópio - PR, 86300-000</w:t>
            </w:r>
          </w:p>
          <w:p>
            <w:pPr>
              <w:pStyle w:val="Normal"/>
              <w:widowControl/>
              <w:suppressAutoHyphens w:val="false"/>
              <w:spacing w:lineRule="auto" w:line="240" w:before="0" w:after="0"/>
              <w:ind w:hanging="0" w:left="0"/>
              <w:jc w:val="left"/>
              <w:textAlignment w:val="auto"/>
              <w:rPr>
                <w:rFonts w:ascii="Arial" w:hAnsi="Arial"/>
              </w:rPr>
            </w:pPr>
            <w:r>
              <w:rPr>
                <w:rFonts w:ascii="Arial" w:hAnsi="Arial"/>
              </w:rPr>
            </w:r>
          </w:p>
        </w:tc>
        <w:tc>
          <w:tcPr>
            <w:tcW w:w="1540" w:type="dxa"/>
            <w:tcBorders/>
            <w:vAlign w:val="center"/>
          </w:tcPr>
          <w:p>
            <w:pPr>
              <w:pStyle w:val="Normal"/>
              <w:widowControl/>
              <w:suppressAutoHyphens w:val="false"/>
              <w:spacing w:lineRule="auto" w:line="240" w:before="0" w:after="0"/>
              <w:ind w:hanging="0" w:left="0"/>
              <w:jc w:val="center"/>
              <w:textAlignment w:val="auto"/>
              <w:rPr>
                <w:rFonts w:ascii="Arial" w:hAnsi="Arial"/>
              </w:rPr>
            </w:pPr>
            <w:r>
              <w:rPr>
                <w:rFonts w:ascii="Arial" w:hAnsi="Arial"/>
                <w:color w:val="000000"/>
                <w:sz w:val="16"/>
                <w:szCs w:val="16"/>
              </w:rPr>
              <w:t>sim</w:t>
            </w:r>
          </w:p>
        </w:tc>
      </w:tr>
    </w:tbl>
    <w:p>
      <w:pPr>
        <w:pStyle w:val="Normal"/>
        <w:ind w:right="-2"/>
        <w:jc w:val="both"/>
        <w:rPr>
          <w:rFonts w:ascii="Arial" w:hAnsi="Arial"/>
          <w:highlight w:val="none"/>
          <w:shd w:fill="auto" w:val="clear"/>
        </w:rPr>
      </w:pPr>
      <w:r>
        <w:rPr>
          <w:rFonts w:ascii="Arial" w:hAnsi="Arial"/>
          <w:shd w:fill="auto" w:val="clear"/>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534"/>
        <w:gridCol w:w="3119"/>
        <w:gridCol w:w="2691"/>
      </w:tblGrid>
      <w:tr>
        <w:trPr/>
        <w:tc>
          <w:tcPr>
            <w:tcW w:w="3534" w:type="dxa"/>
            <w:tcBorders/>
          </w:tcPr>
          <w:p>
            <w:pPr>
              <w:pStyle w:val="Normal"/>
              <w:widowControl/>
              <w:spacing w:before="0" w:after="0"/>
              <w:ind w:right="-2"/>
              <w:jc w:val="center"/>
              <w:rPr>
                <w:rFonts w:ascii="Arial" w:hAnsi="Arial"/>
                <w:highlight w:val="none"/>
                <w:shd w:fill="auto" w:val="clear"/>
              </w:rPr>
            </w:pPr>
            <w:r>
              <w:rPr>
                <w:rFonts w:eastAsia="Times New Roman" w:cs="Arial" w:ascii="Arial" w:hAnsi="Arial"/>
                <w:b/>
                <w:bCs/>
                <w:kern w:val="0"/>
                <w:sz w:val="22"/>
                <w:szCs w:val="22"/>
                <w:shd w:fill="auto" w:val="clear"/>
                <w:lang w:val="pt-BR" w:eastAsia="pt-BR" w:bidi="ar-SA"/>
              </w:rPr>
              <w:t>Id contratação PNCP:</w:t>
            </w:r>
          </w:p>
          <w:p>
            <w:pPr>
              <w:pStyle w:val="Normal"/>
              <w:widowControl/>
              <w:spacing w:before="0" w:after="0"/>
              <w:ind w:right="-2"/>
              <w:jc w:val="center"/>
              <w:rPr>
                <w:rFonts w:ascii="Arial" w:hAnsi="Arial"/>
                <w:highlight w:val="none"/>
                <w:shd w:fill="auto" w:val="clear"/>
              </w:rPr>
            </w:pPr>
            <w:r>
              <w:rPr>
                <w:rFonts w:ascii="Arial" w:hAnsi="Arial"/>
                <w:shd w:fill="auto" w:val="clear"/>
              </w:rPr>
            </w:r>
          </w:p>
        </w:tc>
        <w:tc>
          <w:tcPr>
            <w:tcW w:w="3119" w:type="dxa"/>
            <w:tcBorders/>
          </w:tcPr>
          <w:p>
            <w:pPr>
              <w:pStyle w:val="Normal"/>
              <w:widowControl/>
              <w:spacing w:before="0" w:after="0"/>
              <w:ind w:right="-2"/>
              <w:jc w:val="center"/>
              <w:rPr>
                <w:rFonts w:ascii="Arial" w:hAnsi="Arial"/>
                <w:highlight w:val="none"/>
                <w:shd w:fill="auto" w:val="clear"/>
              </w:rPr>
            </w:pPr>
            <w:r>
              <w:rPr>
                <w:rFonts w:eastAsia="Times New Roman" w:cs="Arial" w:ascii="Arial" w:hAnsi="Arial"/>
                <w:b/>
                <w:bCs/>
                <w:kern w:val="0"/>
                <w:sz w:val="22"/>
                <w:szCs w:val="22"/>
                <w:shd w:fill="auto" w:val="clear"/>
                <w:lang w:val="pt-BR" w:eastAsia="pt-BR" w:bidi="ar-SA"/>
              </w:rPr>
              <w:t>Órgão:</w:t>
            </w:r>
          </w:p>
        </w:tc>
        <w:tc>
          <w:tcPr>
            <w:tcW w:w="2691" w:type="dxa"/>
            <w:tcBorders/>
          </w:tcPr>
          <w:p>
            <w:pPr>
              <w:pStyle w:val="Normal"/>
              <w:widowControl/>
              <w:spacing w:before="0" w:after="0"/>
              <w:ind w:right="-2"/>
              <w:jc w:val="center"/>
              <w:rPr>
                <w:rFonts w:ascii="Arial" w:hAnsi="Arial"/>
                <w:highlight w:val="none"/>
                <w:shd w:fill="auto" w:val="clear"/>
              </w:rPr>
            </w:pPr>
            <w:r>
              <w:rPr>
                <w:rFonts w:eastAsia="Times New Roman" w:cs="Arial" w:ascii="Arial" w:hAnsi="Arial"/>
                <w:b/>
                <w:bCs/>
                <w:kern w:val="0"/>
                <w:sz w:val="22"/>
                <w:szCs w:val="22"/>
                <w:shd w:fill="auto" w:val="clear"/>
                <w:lang w:val="pt-BR" w:eastAsia="pt-BR" w:bidi="ar-SA"/>
              </w:rPr>
              <w:t>Edital</w:t>
            </w:r>
          </w:p>
        </w:tc>
      </w:tr>
      <w:tr>
        <w:trPr/>
        <w:tc>
          <w:tcPr>
            <w:tcW w:w="3534"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76282680000145-1-000023/2025</w:t>
            </w:r>
          </w:p>
        </w:tc>
        <w:tc>
          <w:tcPr>
            <w:tcW w:w="3119" w:type="dxa"/>
            <w:tcBorders/>
          </w:tcPr>
          <w:p>
            <w:pPr>
              <w:pStyle w:val="ListParagraph"/>
              <w:widowControl/>
              <w:suppressAutoHyphens w:val="true"/>
              <w:spacing w:before="0" w:after="0"/>
              <w:ind w:hanging="0" w:left="0"/>
              <w:contextualSpacing/>
              <w:jc w:val="center"/>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PREFEITURA MUNICIPAL DE MARIALVA -PR -</w:t>
            </w:r>
          </w:p>
        </w:tc>
        <w:tc>
          <w:tcPr>
            <w:tcW w:w="2691"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Pregão Eletrônico</w:t>
            </w:r>
          </w:p>
        </w:tc>
      </w:tr>
      <w:tr>
        <w:trPr/>
        <w:tc>
          <w:tcPr>
            <w:tcW w:w="3534"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83102343000194-1-000008/2025</w:t>
            </w:r>
          </w:p>
          <w:p>
            <w:pPr>
              <w:pStyle w:val="Normal"/>
              <w:widowControl/>
              <w:spacing w:before="0" w:after="0"/>
              <w:ind w:right="-2"/>
              <w:jc w:val="both"/>
              <w:rPr>
                <w:rFonts w:ascii="Arial" w:hAnsi="Arial"/>
                <w:sz w:val="20"/>
                <w:szCs w:val="20"/>
                <w:highlight w:val="none"/>
                <w:shd w:fill="auto" w:val="clear"/>
              </w:rPr>
            </w:pPr>
            <w:r>
              <w:rPr>
                <w:rFonts w:ascii="Arial" w:hAnsi="Arial"/>
                <w:sz w:val="20"/>
                <w:szCs w:val="20"/>
                <w:shd w:fill="auto" w:val="clear"/>
              </w:rPr>
            </w:r>
          </w:p>
        </w:tc>
        <w:tc>
          <w:tcPr>
            <w:tcW w:w="3119"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MUNICÍPIO DE BRUSQUE-SC</w:t>
            </w:r>
          </w:p>
        </w:tc>
        <w:tc>
          <w:tcPr>
            <w:tcW w:w="2691"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Pregão Eletrônico</w:t>
            </w:r>
          </w:p>
        </w:tc>
      </w:tr>
      <w:tr>
        <w:trPr/>
        <w:tc>
          <w:tcPr>
            <w:tcW w:w="3534"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87613626000151-1-000327/2025</w:t>
            </w:r>
          </w:p>
        </w:tc>
        <w:tc>
          <w:tcPr>
            <w:tcW w:w="3119"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MUNICÍPIO DE LAGOA VERMELHA- RS</w:t>
            </w:r>
          </w:p>
        </w:tc>
        <w:tc>
          <w:tcPr>
            <w:tcW w:w="2691" w:type="dxa"/>
            <w:tcBorders/>
          </w:tcPr>
          <w:p>
            <w:pPr>
              <w:pStyle w:val="Normal"/>
              <w:widowControl/>
              <w:spacing w:before="0" w:after="0"/>
              <w:ind w:right="-2"/>
              <w:jc w:val="both"/>
              <w:rPr>
                <w:rFonts w:ascii="Arial" w:hAnsi="Arial"/>
                <w:sz w:val="20"/>
                <w:szCs w:val="20"/>
                <w:highlight w:val="none"/>
                <w:shd w:fill="auto" w:val="clear"/>
              </w:rPr>
            </w:pPr>
            <w:r>
              <w:rPr>
                <w:rFonts w:eastAsia="Times New Roman" w:cs="Arial" w:ascii="Arial" w:hAnsi="Arial"/>
                <w:kern w:val="0"/>
                <w:sz w:val="20"/>
                <w:szCs w:val="20"/>
                <w:shd w:fill="auto" w:val="clear"/>
                <w:lang w:val="pt-BR" w:eastAsia="pt-BR" w:bidi="ar-SA"/>
              </w:rPr>
              <w:t xml:space="preserve">Pregão </w:t>
            </w:r>
            <w:r>
              <w:rPr>
                <w:rFonts w:eastAsia="Times New Roman" w:cs="Times New Roman" w:ascii="Arial" w:hAnsi="Arial"/>
                <w:kern w:val="0"/>
                <w:sz w:val="20"/>
                <w:szCs w:val="20"/>
                <w:shd w:fill="auto" w:val="clear"/>
                <w:lang w:val="pt-BR" w:eastAsia="pt-BR" w:bidi="ar-SA"/>
              </w:rPr>
              <w:t>Eletrônico</w:t>
            </w:r>
          </w:p>
        </w:tc>
      </w:tr>
    </w:tbl>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right="-2"/>
        <w:jc w:val="both"/>
        <w:rPr>
          <w:highlight w:val="none"/>
          <w:shd w:fill="auto" w:val="clear"/>
        </w:rPr>
      </w:pPr>
      <w:r>
        <w:rPr>
          <w:rFonts w:cs="Arial" w:ascii="Arial" w:hAnsi="Arial"/>
          <w:sz w:val="22"/>
          <w:szCs w:val="22"/>
          <w:shd w:fill="auto" w:val="clear"/>
        </w:rPr>
        <w:t>O Art. 18 da Lei nº 14.133/2021 (Nova Lei de Licitações) estabelece, na fase preparatória, a necessidade de definir o regime de fornecimento de bens, prestação de serviços ou execução de obras e serviços de engenharia. Essa definição é crucial para a escolha do procedimento licitatório adequado, garantindo que o município realize um certame juridicamente seguro, ágil e eficaz. Para isso, é indispensável analisar detalhadamente como a contratação será realizada. Essa análise prévia permite identificar a modalidade de licitação mais apropriada, bem como os requisitos e critérios necessários para assegurar a seleção da proposta mais vantajosa para a administração pública:</w:t>
      </w:r>
    </w:p>
    <w:p>
      <w:pPr>
        <w:pStyle w:val="Normal"/>
        <w:ind w:right="-2"/>
        <w:jc w:val="both"/>
        <w:rPr>
          <w:rFonts w:ascii="Arial" w:hAnsi="Arial" w:cs="Arial"/>
          <w:sz w:val="22"/>
          <w:szCs w:val="22"/>
          <w:highlight w:val="none"/>
          <w:shd w:fill="FFFF00" w:val="clear"/>
        </w:rPr>
      </w:pPr>
      <w:r>
        <w:rPr>
          <w:rFonts w:cs="Arial" w:ascii="Arial" w:hAnsi="Arial"/>
          <w:sz w:val="22"/>
          <w:szCs w:val="22"/>
          <w:shd w:fill="FFFF00" w:val="clear"/>
        </w:rPr>
      </w:r>
    </w:p>
    <w:p>
      <w:pPr>
        <w:pStyle w:val="Normal"/>
        <w:ind w:left="720" w:right="-2"/>
        <w:jc w:val="both"/>
        <w:rPr>
          <w:highlight w:val="none"/>
          <w:shd w:fill="auto" w:val="clear"/>
        </w:rPr>
      </w:pPr>
      <w:r>
        <w:rPr>
          <w:rFonts w:cs="Arial" w:ascii="Arial" w:hAnsi="Arial"/>
          <w:sz w:val="22"/>
          <w:szCs w:val="22"/>
          <w:shd w:fill="auto" w:val="clear"/>
        </w:rPr>
        <w:t xml:space="preserve">Art. 18. A fase preparatória do processo licitatório é caracterizada pelo planejamento e deve compatibilizar-se com o plano de contratações anual de que trata o inciso VII do caput do art. 12 desta Lei, sempre que elaborado, e com as leis orçamentárias, bem como abordar todas as considerações técnicas, mercadológicas e de gestão que podem interferir na contratação, compreendidos: </w:t>
      </w:r>
    </w:p>
    <w:p>
      <w:pPr>
        <w:pStyle w:val="Normal"/>
        <w:ind w:left="720" w:right="-2"/>
        <w:jc w:val="both"/>
        <w:rPr>
          <w:highlight w:val="none"/>
          <w:shd w:fill="auto" w:val="clear"/>
        </w:rPr>
      </w:pPr>
      <w:r>
        <w:rPr>
          <w:rFonts w:cs="Arial" w:ascii="Arial" w:hAnsi="Arial"/>
          <w:sz w:val="22"/>
          <w:szCs w:val="22"/>
          <w:shd w:fill="auto" w:val="clear"/>
        </w:rPr>
        <w:t xml:space="preserve">[...] </w:t>
      </w:r>
    </w:p>
    <w:p>
      <w:pPr>
        <w:pStyle w:val="Normal"/>
        <w:ind w:left="720" w:right="-2"/>
        <w:jc w:val="both"/>
        <w:rPr>
          <w:highlight w:val="none"/>
          <w:shd w:fill="auto" w:val="clear"/>
        </w:rPr>
      </w:pPr>
      <w:r>
        <w:rPr>
          <w:rFonts w:cs="Arial" w:ascii="Arial" w:hAnsi="Arial"/>
          <w:sz w:val="22"/>
          <w:szCs w:val="22"/>
          <w:shd w:fill="auto" w:val="clear"/>
        </w:rPr>
        <w:t xml:space="preserve">VII - o regime de fornecimento de bens, de prestação de serviços ou de execução de obras e serviços de engenharia, observados os potenciais de economia de escala; </w:t>
      </w:r>
    </w:p>
    <w:p>
      <w:pPr>
        <w:pStyle w:val="Normal"/>
        <w:ind w:left="720" w:right="-2"/>
        <w:jc w:val="both"/>
        <w:rPr>
          <w:highlight w:val="none"/>
          <w:shd w:fill="auto" w:val="clear"/>
        </w:rPr>
      </w:pPr>
      <w:r>
        <w:rPr>
          <w:rFonts w:cs="Arial" w:ascii="Arial" w:hAnsi="Arial"/>
          <w:sz w:val="22"/>
          <w:szCs w:val="22"/>
          <w:shd w:fill="auto" w:val="clear"/>
        </w:rPr>
        <w:t>VIII - a modalidade de licitação, o critério de julgamento, o modo de disputa e a adequação e eficiência da forma de combinação desses parâmetros, para os fins de seleção da proposta apta a gerar o resultado de contratação mais vantajoso para a Administração Pública, considerado todo o ciclo de vida do objeto;</w:t>
      </w:r>
    </w:p>
    <w:p>
      <w:pPr>
        <w:pStyle w:val="Normal"/>
        <w:ind w:left="720"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right="-2"/>
        <w:jc w:val="both"/>
        <w:rPr>
          <w:highlight w:val="none"/>
          <w:shd w:fill="auto" w:val="clear"/>
        </w:rPr>
      </w:pPr>
      <w:r>
        <w:rPr>
          <w:rFonts w:cs="Arial" w:ascii="Arial" w:hAnsi="Arial"/>
          <w:sz w:val="22"/>
          <w:szCs w:val="22"/>
          <w:shd w:fill="auto" w:val="clear"/>
        </w:rPr>
        <w:t xml:space="preserve"> </w:t>
      </w:r>
      <w:r>
        <w:rPr>
          <w:rFonts w:cs="Arial" w:ascii="Arial" w:hAnsi="Arial"/>
          <w:sz w:val="22"/>
          <w:szCs w:val="22"/>
          <w:shd w:fill="auto" w:val="clear"/>
        </w:rPr>
        <w:tab/>
        <w:t>Para definição do regime de fornecimento de bens, de prestação de serviços ou de execução de obras e serviços de engenharia, cumpre primeiramente identificar a natureza do objeto.</w:t>
      </w:r>
    </w:p>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sz w:val="22"/>
          <w:szCs w:val="22"/>
        </w:rPr>
      </w:pPr>
      <w:r>
        <w:rPr>
          <w:rFonts w:cs="Arial" w:ascii="Arial" w:hAnsi="Arial"/>
          <w:sz w:val="22"/>
          <w:szCs w:val="22"/>
        </w:rPr>
        <w:t xml:space="preserve"> </w:t>
      </w:r>
      <w:r>
        <w:rPr>
          <w:rFonts w:cs="Arial" w:ascii="Arial" w:hAnsi="Arial"/>
          <w:sz w:val="22"/>
          <w:szCs w:val="22"/>
        </w:rPr>
        <w:tab/>
      </w:r>
      <w:r>
        <w:rPr>
          <w:rFonts w:cs="Arial" w:ascii="Arial" w:hAnsi="Arial"/>
          <w:sz w:val="22"/>
          <w:szCs w:val="22"/>
          <w:shd w:fill="auto" w:val="clear"/>
        </w:rPr>
        <w:t>Cediço que o equipamento objeto desta contratação é caracterizado como essencial  comum, conforme prevê inciso XIII, do art. 6º da Lei 14. 133, de 2021, pois, seus padrões de desempenho e qualidade são passiveis de objetivamente serem definidos, por meio de especificações usuais de mercado:</w:t>
      </w:r>
    </w:p>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left="720" w:right="-2"/>
        <w:jc w:val="both"/>
        <w:rPr>
          <w:highlight w:val="none"/>
          <w:shd w:fill="auto" w:val="clear"/>
        </w:rPr>
      </w:pPr>
      <w:r>
        <w:rPr>
          <w:rFonts w:cs="Arial" w:ascii="Arial" w:hAnsi="Arial"/>
          <w:sz w:val="22"/>
          <w:szCs w:val="22"/>
          <w:shd w:fill="auto" w:val="clear"/>
        </w:rPr>
        <w:t xml:space="preserve">Art. 6º Para os fins desta Lei, consideram-se: </w:t>
      </w:r>
    </w:p>
    <w:p>
      <w:pPr>
        <w:pStyle w:val="Normal"/>
        <w:ind w:left="720" w:right="-2"/>
        <w:jc w:val="both"/>
        <w:rPr>
          <w:highlight w:val="none"/>
          <w:shd w:fill="auto" w:val="clear"/>
        </w:rPr>
      </w:pPr>
      <w:r>
        <w:rPr>
          <w:rFonts w:cs="Arial" w:ascii="Arial" w:hAnsi="Arial"/>
          <w:sz w:val="22"/>
          <w:szCs w:val="22"/>
          <w:shd w:fill="auto" w:val="clear"/>
        </w:rPr>
        <w:t xml:space="preserve">[...] </w:t>
      </w:r>
    </w:p>
    <w:p>
      <w:pPr>
        <w:pStyle w:val="Normal"/>
        <w:ind w:left="720" w:right="-2"/>
        <w:jc w:val="both"/>
        <w:rPr>
          <w:highlight w:val="none"/>
          <w:shd w:fill="auto" w:val="clear"/>
        </w:rPr>
      </w:pPr>
      <w:r>
        <w:rPr>
          <w:rFonts w:cs="Arial" w:ascii="Arial" w:hAnsi="Arial"/>
          <w:sz w:val="22"/>
          <w:szCs w:val="22"/>
          <w:shd w:fill="auto" w:val="clear"/>
        </w:rPr>
        <w:t xml:space="preserve">XIII - bens e serviços comuns: aqueles cujos padrões de desempenho e qualidade podem ser objetivamente definidos pelo edital, por meio de especificações usuais de mercado; </w:t>
      </w:r>
    </w:p>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p>
      <w:pPr>
        <w:pStyle w:val="Normal"/>
        <w:ind w:right="-2"/>
        <w:jc w:val="both"/>
        <w:rPr>
          <w:highlight w:val="none"/>
          <w:shd w:fill="auto" w:val="clear"/>
        </w:rPr>
      </w:pPr>
      <w:r>
        <w:rPr>
          <w:rFonts w:cs="Arial" w:ascii="Arial" w:hAnsi="Arial"/>
          <w:sz w:val="22"/>
          <w:szCs w:val="22"/>
          <w:shd w:fill="auto" w:val="clear"/>
        </w:rPr>
        <w:t xml:space="preserve"> </w:t>
      </w:r>
      <w:r>
        <w:rPr>
          <w:rFonts w:cs="Arial" w:ascii="Arial" w:hAnsi="Arial"/>
          <w:sz w:val="22"/>
          <w:szCs w:val="22"/>
          <w:shd w:fill="auto" w:val="clear"/>
        </w:rPr>
        <w:tab/>
        <w:t>Identificado o objeto, deve ser fixado a modalidade que dará norte a contratação</w:t>
      </w:r>
    </w:p>
    <w:p>
      <w:pPr>
        <w:pStyle w:val="Normal"/>
        <w:ind w:right="-2"/>
        <w:jc w:val="both"/>
        <w:rPr>
          <w:rFonts w:ascii="Arial" w:hAnsi="Arial" w:cs="Arial"/>
          <w:sz w:val="22"/>
          <w:szCs w:val="22"/>
          <w:highlight w:val="none"/>
          <w:shd w:fill="auto" w:val="clear"/>
        </w:rPr>
      </w:pPr>
      <w:r>
        <w:rPr>
          <w:rFonts w:cs="Arial" w:ascii="Arial" w:hAnsi="Arial"/>
          <w:sz w:val="22"/>
          <w:szCs w:val="22"/>
          <w:shd w:fill="auto" w:val="clear"/>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344"/>
      </w:tblGrid>
      <w:tr>
        <w:trPr/>
        <w:tc>
          <w:tcPr>
            <w:tcW w:w="9344" w:type="dxa"/>
            <w:tcBorders>
              <w:top w:val="single" w:sz="12" w:space="0" w:color="17365D"/>
              <w:left w:val="single" w:sz="12" w:space="0" w:color="17365D"/>
              <w:bottom w:val="single" w:sz="12" w:space="0" w:color="17365D"/>
              <w:right w:val="single" w:sz="12" w:space="0" w:color="17365D"/>
            </w:tcBorders>
            <w:shd w:color="auto" w:fill="C6D9F1" w:themeFill="text2" w:themeFillTint="33" w:val="clear"/>
          </w:tcPr>
          <w:p>
            <w:pPr>
              <w:pStyle w:val="ListParagraph"/>
              <w:widowControl/>
              <w:numPr>
                <w:ilvl w:val="0"/>
                <w:numId w:val="2"/>
              </w:numPr>
              <w:spacing w:before="0" w:after="0"/>
              <w:ind w:hanging="2" w:left="0" w:right="-2"/>
              <w:contextualSpacing/>
              <w:jc w:val="both"/>
              <w:rPr>
                <w:rFonts w:ascii="Arial" w:hAnsi="Arial" w:cs="Arial"/>
                <w:sz w:val="22"/>
                <w:szCs w:val="22"/>
              </w:rPr>
            </w:pPr>
            <w:r>
              <w:rPr>
                <w:rFonts w:eastAsia="Times New Roman" w:cs="Arial" w:ascii="Arial" w:hAnsi="Arial"/>
                <w:b/>
                <w:bCs/>
                <w:kern w:val="0"/>
                <w:sz w:val="22"/>
                <w:szCs w:val="22"/>
                <w:lang w:val="pt-BR" w:eastAsia="pt-BR" w:bidi="ar-SA"/>
              </w:rPr>
              <w:t>Estimativa do valor da contratação (art. 15, §1º VI do Decreto nº 3.537/2023):</w:t>
            </w:r>
          </w:p>
        </w:tc>
      </w:tr>
    </w:tbl>
    <w:p>
      <w:pPr>
        <w:pStyle w:val="Normal"/>
        <w:ind w:right="-2"/>
        <w:jc w:val="both"/>
        <w:rPr>
          <w:rFonts w:ascii="Arial" w:hAnsi="Arial" w:cs="Arial"/>
          <w:sz w:val="22"/>
          <w:szCs w:val="22"/>
        </w:rPr>
      </w:pPr>
      <w:r>
        <w:rPr>
          <w:rFonts w:cs="Arial" w:ascii="Arial" w:hAnsi="Arial"/>
          <w:sz w:val="22"/>
          <w:szCs w:val="22"/>
        </w:rPr>
      </w:r>
    </w:p>
    <w:p>
      <w:pPr>
        <w:pStyle w:val="Normal"/>
        <w:ind w:right="-2"/>
        <w:jc w:val="both"/>
        <w:rPr>
          <w:rFonts w:ascii="Arial" w:hAnsi="Arial" w:cs="Arial"/>
          <w:b/>
          <w:bCs/>
          <w:color w:val="FF0000"/>
          <w:sz w:val="22"/>
          <w:szCs w:val="22"/>
        </w:rPr>
      </w:pPr>
      <w:r>
        <w:rPr>
          <w:rFonts w:cs="Arial" w:ascii="Arial" w:hAnsi="Arial"/>
          <w:sz w:val="22"/>
          <w:szCs w:val="22"/>
        </w:rPr>
        <w:t xml:space="preserve">2.1.1 </w:t>
      </w:r>
      <w:r>
        <w:rPr>
          <w:rFonts w:cs="Arial" w:ascii="Arial" w:hAnsi="Arial"/>
          <w:b w:val="false"/>
          <w:bCs w:val="false"/>
          <w:color w:val="000000"/>
          <w:sz w:val="22"/>
          <w:szCs w:val="22"/>
        </w:rPr>
        <w:t xml:space="preserve">A estimativa de valor da contratação, conforme o Estudo Técnico Preliminar (ETP), tem como objetivo avaliar o potencial gasto associado à solução escolhida, a fim de verificar sua viabilidade econômica. </w:t>
      </w:r>
    </w:p>
    <w:p>
      <w:pPr>
        <w:pStyle w:val="ListParagraph"/>
        <w:ind w:hanging="2" w:left="0"/>
        <w:jc w:val="both"/>
        <w:rPr>
          <w:color w:val="000000"/>
          <w:sz w:val="22"/>
          <w:szCs w:val="22"/>
        </w:rPr>
      </w:pPr>
      <w:r>
        <w:rPr>
          <w:rFonts w:ascii="Arial" w:hAnsi="Arial"/>
          <w:color w:val="000000"/>
          <w:sz w:val="22"/>
          <w:szCs w:val="22"/>
        </w:rPr>
        <w:t>2.1.2. Como mencionado anteriormente, para calcular o quantitativo total estimado, utilizamos o plano de trabalho do convênio nº 956766/2024, celebrado entre a Prefeitura Municipal e o Ministério do da Agricultura e Pecuária.</w:t>
      </w:r>
    </w:p>
    <w:p>
      <w:pPr>
        <w:pStyle w:val="Normal"/>
        <w:ind w:right="-2"/>
        <w:jc w:val="both"/>
        <w:rPr>
          <w:rFonts w:ascii="Arial" w:hAnsi="Arial" w:cs="Arial"/>
          <w:b/>
          <w:bCs/>
          <w:color w:val="FF0000"/>
          <w:sz w:val="22"/>
          <w:szCs w:val="22"/>
        </w:rPr>
      </w:pPr>
      <w:r>
        <w:rPr>
          <w:rFonts w:cs="Arial" w:ascii="Arial" w:hAnsi="Arial"/>
          <w:b w:val="false"/>
          <w:bCs w:val="false"/>
          <w:color w:val="000000"/>
          <w:sz w:val="22"/>
          <w:szCs w:val="22"/>
        </w:rPr>
        <w:t xml:space="preserve">2.1.3. Com base no DFD, que fixou as características e especificações do objeto, foi realizada pesquisa de preço de acordo com o artigo 23 e seguintes da Lei 14.133/2021 e art. Art. 368 e seguintes do Decreto Municipal nº 3.537/2023, pela servidora Rosicleide Inforzato, para identificar o valor para o item a ser contratado, adotando-se </w:t>
      </w:r>
      <w:r>
        <w:rPr>
          <w:rFonts w:cs="Arial" w:ascii="Arial" w:hAnsi="Arial"/>
          <w:b/>
          <w:bCs/>
          <w:color w:val="000000"/>
          <w:sz w:val="22"/>
          <w:szCs w:val="22"/>
          <w:u w:val="single"/>
        </w:rPr>
        <w:t>média</w:t>
      </w:r>
      <w:r>
        <w:rPr>
          <w:rFonts w:cs="Arial" w:ascii="Arial" w:hAnsi="Arial"/>
          <w:b w:val="false"/>
          <w:bCs w:val="false"/>
          <w:color w:val="000000"/>
          <w:sz w:val="22"/>
          <w:szCs w:val="22"/>
        </w:rPr>
        <w:t xml:space="preserve"> de preços dos orçamentos apresentados à Administração e de contratos firmados por outros municípios que adquiriram o mesmo objeto, que seguem anexos a este estudo e constam de mapa de preço igualmente colacionado:</w:t>
      </w:r>
    </w:p>
    <w:p>
      <w:pPr>
        <w:pStyle w:val="Normal"/>
        <w:ind w:right="-2"/>
        <w:jc w:val="both"/>
        <w:rPr>
          <w:rFonts w:ascii="Arial" w:hAnsi="Arial" w:cs="Arial"/>
          <w:b/>
          <w:bCs/>
          <w:color w:val="FF0000"/>
          <w:sz w:val="22"/>
          <w:szCs w:val="22"/>
        </w:rPr>
      </w:pPr>
      <w:r>
        <w:rPr>
          <w:rFonts w:cs="Arial" w:ascii="Arial" w:hAnsi="Arial"/>
          <w:b/>
          <w:bCs/>
          <w:color w:val="FF0000"/>
          <w:sz w:val="22"/>
          <w:szCs w:val="22"/>
        </w:rPr>
      </w:r>
    </w:p>
    <w:tbl>
      <w:tblPr>
        <w:tblStyle w:val="Tabelacomgrade"/>
        <w:tblW w:w="9577"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25"/>
        <w:gridCol w:w="669"/>
        <w:gridCol w:w="570"/>
        <w:gridCol w:w="4598"/>
        <w:gridCol w:w="1586"/>
        <w:gridCol w:w="1528"/>
      </w:tblGrid>
      <w:tr>
        <w:trPr>
          <w:trHeight w:val="334" w:hRule="atLeast"/>
        </w:trPr>
        <w:tc>
          <w:tcPr>
            <w:tcW w:w="625"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ITEM</w:t>
            </w:r>
          </w:p>
        </w:tc>
        <w:tc>
          <w:tcPr>
            <w:tcW w:w="669" w:type="dxa"/>
            <w:tcBorders/>
          </w:tcPr>
          <w:p>
            <w:pPr>
              <w:pStyle w:val="ListParagraph"/>
              <w:widowControl/>
              <w:spacing w:before="0" w:after="0"/>
              <w:ind w:left="0" w:right="-2"/>
              <w:contextualSpacing/>
              <w:jc w:val="left"/>
              <w:rPr>
                <w:rFonts w:ascii="Arial" w:hAnsi="Arial" w:cs="Arial"/>
                <w:sz w:val="16"/>
                <w:szCs w:val="16"/>
              </w:rPr>
            </w:pPr>
            <w:r>
              <w:rPr>
                <w:rFonts w:eastAsia="Times New Roman" w:cs="Arial" w:ascii="Arial" w:hAnsi="Arial"/>
                <w:b/>
                <w:bCs/>
                <w:kern w:val="0"/>
                <w:sz w:val="16"/>
                <w:szCs w:val="16"/>
                <w:lang w:val="pt-BR" w:eastAsia="pt-BR" w:bidi="ar-SA"/>
              </w:rPr>
              <w:t>UNIDADE</w:t>
            </w:r>
          </w:p>
        </w:tc>
        <w:tc>
          <w:tcPr>
            <w:tcW w:w="570"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QTD</w:t>
            </w:r>
          </w:p>
        </w:tc>
        <w:tc>
          <w:tcPr>
            <w:tcW w:w="4598"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DESCRIÇÃO DO OBJETO</w:t>
            </w:r>
          </w:p>
        </w:tc>
        <w:tc>
          <w:tcPr>
            <w:tcW w:w="1586"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VALOR</w:t>
            </w:r>
          </w:p>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UNIT.</w:t>
            </w:r>
          </w:p>
        </w:tc>
        <w:tc>
          <w:tcPr>
            <w:tcW w:w="1528" w:type="dxa"/>
            <w:tcBorders/>
          </w:tcPr>
          <w:p>
            <w:pPr>
              <w:pStyle w:val="ListParagraph"/>
              <w:widowControl/>
              <w:spacing w:before="0" w:after="0"/>
              <w:ind w:left="0" w:right="-2"/>
              <w:contextualSpacing/>
              <w:jc w:val="center"/>
              <w:rPr>
                <w:rFonts w:ascii="Arial" w:hAnsi="Arial" w:cs="Arial"/>
                <w:sz w:val="16"/>
                <w:szCs w:val="16"/>
              </w:rPr>
            </w:pPr>
            <w:r>
              <w:rPr>
                <w:rFonts w:eastAsia="Times New Roman" w:cs="Arial" w:ascii="Arial" w:hAnsi="Arial"/>
                <w:b/>
                <w:bCs/>
                <w:kern w:val="0"/>
                <w:sz w:val="16"/>
                <w:szCs w:val="16"/>
                <w:lang w:val="pt-BR" w:eastAsia="pt-BR" w:bidi="ar-SA"/>
              </w:rPr>
              <w:t>VALOR TOTAL</w:t>
            </w:r>
          </w:p>
        </w:tc>
      </w:tr>
      <w:tr>
        <w:trPr>
          <w:trHeight w:val="1375" w:hRule="atLeast"/>
        </w:trPr>
        <w:tc>
          <w:tcPr>
            <w:tcW w:w="625" w:type="dxa"/>
            <w:tcBorders/>
          </w:tcPr>
          <w:p>
            <w:pPr>
              <w:pStyle w:val="ListParagraph"/>
              <w:widowControl/>
              <w:spacing w:before="0" w:after="0"/>
              <w:ind w:left="0" w:right="-2"/>
              <w:contextualSpacing/>
              <w:jc w:val="center"/>
              <w:rPr>
                <w:rFonts w:ascii="Arial" w:hAnsi="Arial" w:cs="Arial"/>
                <w:sz w:val="20"/>
                <w:szCs w:val="20"/>
              </w:rPr>
            </w:pPr>
            <w:r>
              <w:rPr>
                <w:rFonts w:eastAsia="Times New Roman" w:cs="Arial" w:ascii="Arial" w:hAnsi="Arial"/>
                <w:b/>
                <w:bCs/>
                <w:kern w:val="0"/>
                <w:sz w:val="20"/>
                <w:szCs w:val="20"/>
                <w:lang w:val="pt-BR" w:eastAsia="pt-BR" w:bidi="ar-SA"/>
              </w:rPr>
              <w:t>01</w:t>
            </w:r>
          </w:p>
        </w:tc>
        <w:tc>
          <w:tcPr>
            <w:tcW w:w="669" w:type="dxa"/>
            <w:tcBorders/>
          </w:tcPr>
          <w:p>
            <w:pPr>
              <w:pStyle w:val="ListParagraph"/>
              <w:widowControl/>
              <w:spacing w:before="0" w:after="0"/>
              <w:ind w:left="0" w:right="-2"/>
              <w:contextualSpacing/>
              <w:jc w:val="center"/>
              <w:rPr>
                <w:rFonts w:ascii="Arial" w:hAnsi="Arial" w:cs="Arial"/>
                <w:sz w:val="20"/>
                <w:szCs w:val="20"/>
              </w:rPr>
            </w:pPr>
            <w:r>
              <w:rPr>
                <w:rFonts w:eastAsia="Times New Roman" w:cs="Arial" w:ascii="Arial" w:hAnsi="Arial"/>
                <w:b/>
                <w:bCs/>
                <w:kern w:val="0"/>
                <w:sz w:val="20"/>
                <w:szCs w:val="20"/>
                <w:lang w:val="pt-BR" w:eastAsia="pt-BR" w:bidi="ar-SA"/>
              </w:rPr>
              <w:t>UND</w:t>
            </w:r>
          </w:p>
        </w:tc>
        <w:tc>
          <w:tcPr>
            <w:tcW w:w="570" w:type="dxa"/>
            <w:tcBorders/>
          </w:tcPr>
          <w:p>
            <w:pPr>
              <w:pStyle w:val="ListParagraph"/>
              <w:widowControl/>
              <w:spacing w:before="0" w:after="0"/>
              <w:ind w:left="0" w:right="-2"/>
              <w:contextualSpacing/>
              <w:jc w:val="center"/>
              <w:rPr>
                <w:rFonts w:ascii="Times New Roman" w:hAnsi="Times New Roman" w:eastAsia="Times New Roman" w:cs="Times New Roman"/>
                <w:kern w:val="0"/>
                <w:sz w:val="24"/>
                <w:szCs w:val="24"/>
                <w:lang w:val="pt-BR" w:eastAsia="pt-BR" w:bidi="ar-SA"/>
              </w:rPr>
            </w:pPr>
            <w:r>
              <w:rPr>
                <w:rFonts w:eastAsia="Times New Roman" w:cs="Arial" w:ascii="Arial" w:hAnsi="Arial"/>
                <w:b/>
                <w:bCs/>
                <w:kern w:val="0"/>
                <w:sz w:val="20"/>
                <w:szCs w:val="20"/>
                <w:lang w:val="pt-BR" w:eastAsia="pt-BR" w:bidi="ar-SA"/>
              </w:rPr>
              <w:t>01</w:t>
            </w:r>
          </w:p>
        </w:tc>
        <w:tc>
          <w:tcPr>
            <w:tcW w:w="4598" w:type="dxa"/>
            <w:tcBorders/>
          </w:tcPr>
          <w:p>
            <w:pPr>
              <w:pStyle w:val="ListParagraph"/>
              <w:widowControl/>
              <w:spacing w:before="0" w:after="0"/>
              <w:ind w:left="0" w:right="-2"/>
              <w:contextualSpacing/>
              <w:jc w:val="both"/>
              <w:rPr>
                <w:rFonts w:ascii="Arial" w:hAnsi="Arial" w:cs="Arial"/>
                <w:sz w:val="20"/>
                <w:szCs w:val="20"/>
              </w:rPr>
            </w:pPr>
            <w:r>
              <w:rPr>
                <w:rFonts w:eastAsia="Times New Roman" w:cs="Arial" w:ascii="Arial" w:hAnsi="Arial"/>
                <w:b w:val="false"/>
                <w:bCs w:val="false"/>
                <w:kern w:val="0"/>
                <w:sz w:val="22"/>
                <w:szCs w:val="22"/>
                <w:lang w:val="pt-BR" w:eastAsia="pt-BR" w:bidi="ar-SA"/>
              </w:rPr>
              <w:t xml:space="preserve">Aquisição de 01 (um) Trator </w:t>
            </w:r>
          </w:p>
          <w:p>
            <w:pPr>
              <w:pStyle w:val="ListParagraph"/>
              <w:widowControl/>
              <w:spacing w:before="0" w:after="0"/>
              <w:ind w:left="0" w:right="-2"/>
              <w:contextualSpacing/>
              <w:jc w:val="both"/>
              <w:rPr>
                <w:rFonts w:ascii="Arial" w:hAnsi="Arial" w:cs="Arial"/>
                <w:sz w:val="20"/>
                <w:szCs w:val="20"/>
              </w:rPr>
            </w:pPr>
            <w:r>
              <w:rPr/>
            </w:r>
          </w:p>
          <w:p>
            <w:pPr>
              <w:pStyle w:val="ListParagraph"/>
              <w:widowControl/>
              <w:spacing w:before="0" w:after="0"/>
              <w:ind w:left="0" w:right="-2"/>
              <w:contextualSpacing/>
              <w:jc w:val="both"/>
              <w:rPr>
                <w:rFonts w:ascii="Arial" w:hAnsi="Arial" w:cs="Arial"/>
                <w:sz w:val="20"/>
                <w:szCs w:val="20"/>
              </w:rPr>
            </w:pPr>
            <w:r>
              <w:rPr>
                <w:rFonts w:eastAsia="Times New Roman" w:cs="Arial" w:ascii="Arial" w:hAnsi="Arial"/>
                <w:b w:val="false"/>
                <w:bCs w:val="false"/>
                <w:kern w:val="0"/>
                <w:sz w:val="22"/>
                <w:szCs w:val="22"/>
                <w:u w:val="single"/>
                <w:lang w:val="pt-BR" w:eastAsia="pt-BR" w:bidi="ar-SA"/>
              </w:rPr>
              <w:t>Características do objeto</w:t>
            </w:r>
            <w:r>
              <w:rPr>
                <w:rFonts w:eastAsia="Times New Roman" w:cs="Arial" w:ascii="Arial" w:hAnsi="Arial"/>
                <w:b w:val="false"/>
                <w:bCs w:val="false"/>
                <w:kern w:val="0"/>
                <w:sz w:val="22"/>
                <w:szCs w:val="22"/>
                <w:lang w:val="pt-BR" w:eastAsia="pt-BR" w:bidi="ar-SA"/>
              </w:rPr>
              <w:t>:</w:t>
            </w:r>
            <w:r>
              <w:rPr>
                <w:rFonts w:eastAsia="Times New Roman" w:cs="Arial" w:ascii="Arial" w:hAnsi="Arial"/>
                <w:b w:val="false"/>
                <w:bCs w:val="false"/>
                <w:kern w:val="0"/>
                <w:sz w:val="22"/>
                <w:szCs w:val="22"/>
                <w:lang w:val="pt-BR" w:eastAsia="pt-BR" w:bidi="ar-SA"/>
              </w:rPr>
              <w:t xml:space="preserve"> com potência mínima de 70cv, Diesel, tração 4x4, contrapesos dianteiros, pneus dianteiros de no mínimo 12.4x24" e traseiros de no mínimo 18.4x30", direção hidrostática, sistema hidráulico de 3 pontos capacidade de levante mínima de 2.100kg, transmissão com no mínimo 8 marchas a frente e 3 marchas a ré, câmbio sincronizado, capacidade mínima do tanque de combustível de 75 litros, freio discos banhados a óleo com acionamento mecânico independente ou em conjunto com o pedal combinado ao freio de estacionamento. Completo com instrumentos, chave de roda, equipado com teto de proteção contra capotamento, capô banco regulável com suspensão cinto de segurança, faróis para trabalho noturno e faróis auxiliares traseiro, espelho retrovisor, Tomada de forças.</w:t>
            </w:r>
          </w:p>
        </w:tc>
        <w:tc>
          <w:tcPr>
            <w:tcW w:w="1586" w:type="dxa"/>
            <w:tcBorders/>
          </w:tcPr>
          <w:p>
            <w:pPr>
              <w:pStyle w:val="ListParagraph"/>
              <w:widowControl/>
              <w:spacing w:before="0" w:after="0"/>
              <w:ind w:left="0" w:right="-2"/>
              <w:contextualSpacing/>
              <w:jc w:val="center"/>
              <w:rPr>
                <w:color w:val="000000"/>
              </w:rPr>
            </w:pPr>
            <w:r>
              <w:rPr>
                <w:rFonts w:eastAsia="Times New Roman" w:cs="Arial" w:ascii="Arial" w:hAnsi="Arial"/>
                <w:color w:val="000000"/>
                <w:kern w:val="0"/>
                <w:sz w:val="20"/>
                <w:szCs w:val="20"/>
                <w:lang w:val="pt-BR" w:eastAsia="pt-BR" w:bidi="ar-SA"/>
              </w:rPr>
              <w:t>R$ 209.110,00</w:t>
            </w:r>
          </w:p>
        </w:tc>
        <w:tc>
          <w:tcPr>
            <w:tcW w:w="1528" w:type="dxa"/>
            <w:tcBorders/>
          </w:tcPr>
          <w:p>
            <w:pPr>
              <w:pStyle w:val="ListParagraph"/>
              <w:widowControl/>
              <w:spacing w:before="0" w:after="0"/>
              <w:ind w:left="0" w:right="-2"/>
              <w:contextualSpacing/>
              <w:jc w:val="left"/>
              <w:rPr>
                <w:color w:val="000000"/>
              </w:rPr>
            </w:pPr>
            <w:r>
              <w:rPr>
                <w:rFonts w:eastAsia="Times New Roman" w:cs="Arial" w:ascii="Arial" w:hAnsi="Arial"/>
                <w:color w:val="000000"/>
                <w:kern w:val="0"/>
                <w:sz w:val="20"/>
                <w:szCs w:val="20"/>
                <w:lang w:val="pt-BR" w:eastAsia="pt-BR" w:bidi="ar-SA"/>
              </w:rPr>
              <w:t>R$ 209.110,00</w:t>
            </w:r>
          </w:p>
        </w:tc>
      </w:tr>
      <w:tr>
        <w:trPr/>
        <w:tc>
          <w:tcPr>
            <w:tcW w:w="9576" w:type="dxa"/>
            <w:gridSpan w:val="6"/>
            <w:tcBorders/>
          </w:tcPr>
          <w:p>
            <w:pPr>
              <w:pStyle w:val="ListParagraph"/>
              <w:widowControl/>
              <w:spacing w:before="0" w:after="0"/>
              <w:ind w:left="0" w:right="-2"/>
              <w:contextualSpacing/>
              <w:jc w:val="both"/>
              <w:rPr>
                <w:color w:val="000000"/>
              </w:rPr>
            </w:pPr>
            <w:r>
              <w:rPr>
                <w:color w:val="000000"/>
              </w:rPr>
            </w:r>
          </w:p>
          <w:p>
            <w:pPr>
              <w:pStyle w:val="ListParagraph"/>
              <w:widowControl/>
              <w:spacing w:before="0" w:after="0"/>
              <w:ind w:left="0" w:right="-2"/>
              <w:contextualSpacing/>
              <w:jc w:val="both"/>
              <w:rPr>
                <w:color w:val="000000"/>
              </w:rPr>
            </w:pPr>
            <w:r>
              <w:rPr>
                <w:rFonts w:eastAsia="Times New Roman" w:cs="Arial" w:ascii="Arial" w:hAnsi="Arial"/>
                <w:color w:val="000000"/>
                <w:kern w:val="0"/>
                <w:sz w:val="18"/>
                <w:szCs w:val="18"/>
                <w:lang w:val="pt-BR" w:eastAsia="pt-BR" w:bidi="ar-SA"/>
              </w:rPr>
              <w:t>VALOR TOTAL  DO CONTRATO</w:t>
            </w:r>
            <w:r>
              <w:rPr>
                <w:rFonts w:eastAsia="Times New Roman" w:cs="Arial" w:ascii="Arial" w:hAnsi="Arial"/>
                <w:color w:val="000000"/>
                <w:kern w:val="0"/>
                <w:sz w:val="20"/>
                <w:szCs w:val="20"/>
                <w:lang w:val="pt-BR" w:eastAsia="pt-BR" w:bidi="ar-SA"/>
              </w:rPr>
              <w:t xml:space="preserve"> </w:t>
            </w:r>
            <w:bookmarkStart w:id="2" w:name="_Hlk189722872"/>
            <w:r>
              <w:rPr>
                <w:rFonts w:eastAsia="Times New Roman" w:cs="Arial" w:ascii="Arial" w:hAnsi="Arial"/>
                <w:b/>
                <w:bCs/>
                <w:color w:val="000000"/>
                <w:kern w:val="0"/>
                <w:sz w:val="20"/>
                <w:szCs w:val="20"/>
                <w:lang w:val="pt-BR" w:eastAsia="pt-BR" w:bidi="ar-SA"/>
              </w:rPr>
              <w:t>R$ 209.110,00</w:t>
            </w:r>
            <w:r>
              <w:rPr>
                <w:rFonts w:eastAsia="Times New Roman" w:cs="Arial" w:ascii="Arial" w:hAnsi="Arial"/>
                <w:color w:val="000000"/>
                <w:kern w:val="0"/>
                <w:sz w:val="20"/>
                <w:szCs w:val="20"/>
                <w:lang w:val="pt-BR" w:eastAsia="pt-BR" w:bidi="ar-SA"/>
              </w:rPr>
              <w:t xml:space="preserve"> (Duzentos e nove mil cento e dez reais).</w:t>
            </w:r>
            <w:bookmarkEnd w:id="2"/>
          </w:p>
          <w:p>
            <w:pPr>
              <w:pStyle w:val="ListParagraph"/>
              <w:widowControl/>
              <w:spacing w:before="0" w:after="0"/>
              <w:ind w:left="0" w:right="-2"/>
              <w:contextualSpacing/>
              <w:jc w:val="both"/>
              <w:rPr>
                <w:color w:val="000000"/>
              </w:rPr>
            </w:pPr>
            <w:r>
              <w:rPr>
                <w:color w:val="000000"/>
              </w:rPr>
            </w:r>
          </w:p>
        </w:tc>
      </w:tr>
    </w:tbl>
    <w:p>
      <w:pPr>
        <w:pStyle w:val="ListParagraph"/>
        <w:ind w:hanging="2" w:left="0" w:right="-2"/>
        <w:jc w:val="both"/>
        <w:rPr>
          <w:rFonts w:ascii="Arial" w:hAnsi="Arial" w:cs="Arial"/>
          <w:color w:val="FF0000"/>
          <w:sz w:val="22"/>
          <w:szCs w:val="22"/>
        </w:rPr>
      </w:pPr>
      <w:r>
        <w:rPr>
          <w:rFonts w:cs="Arial" w:ascii="Arial" w:hAnsi="Arial"/>
          <w:color w:val="FF0000"/>
          <w:sz w:val="22"/>
          <w:szCs w:val="22"/>
        </w:rPr>
      </w:r>
    </w:p>
    <w:p>
      <w:pPr>
        <w:pStyle w:val="ListParagraph"/>
        <w:ind w:hanging="2" w:left="0"/>
        <w:jc w:val="both"/>
        <w:rPr>
          <w:rFonts w:ascii="Arial" w:hAnsi="Arial"/>
          <w:b w:val="false"/>
          <w:bCs w:val="false"/>
        </w:rPr>
      </w:pPr>
      <w:r>
        <w:rPr>
          <w:rFonts w:ascii="Arial" w:hAnsi="Arial"/>
          <w:b w:val="false"/>
          <w:bCs w:val="false"/>
          <w:color w:val="000000"/>
        </w:rPr>
        <w:t xml:space="preserve">2.1.4 O Valor global da contratação constante no convênio 956766/2024 na Plataforma Transferegov, firmado entre este Município e o Ministério da Agricultura E Pecuária é de R$ </w:t>
      </w:r>
      <w:r>
        <w:rPr>
          <w:rFonts w:ascii="Arial" w:hAnsi="Arial"/>
          <w:b/>
          <w:bCs/>
          <w:color w:val="000000"/>
        </w:rPr>
        <w:t>209.110,00</w:t>
      </w:r>
      <w:r>
        <w:rPr>
          <w:rFonts w:ascii="Arial" w:hAnsi="Arial"/>
          <w:b w:val="false"/>
          <w:bCs w:val="false"/>
          <w:color w:val="000000"/>
        </w:rPr>
        <w:t xml:space="preserve"> (sendo que R$ </w:t>
      </w:r>
      <w:r>
        <w:rPr>
          <w:rFonts w:ascii="Arial" w:hAnsi="Arial"/>
          <w:b/>
          <w:bCs/>
          <w:color w:val="000000"/>
        </w:rPr>
        <w:t>200.550,00</w:t>
      </w:r>
      <w:r>
        <w:rPr>
          <w:rFonts w:ascii="Arial" w:hAnsi="Arial"/>
          <w:b w:val="false"/>
          <w:bCs w:val="false"/>
          <w:color w:val="000000"/>
        </w:rPr>
        <w:t xml:space="preserve"> é de recurso do Ministério e R$ </w:t>
      </w:r>
      <w:r>
        <w:rPr>
          <w:rFonts w:ascii="Arial" w:hAnsi="Arial"/>
          <w:b/>
          <w:bCs/>
          <w:color w:val="000000"/>
        </w:rPr>
        <w:t>8.560,00</w:t>
      </w:r>
      <w:r>
        <w:rPr>
          <w:rFonts w:ascii="Arial" w:hAnsi="Arial"/>
          <w:b w:val="false"/>
          <w:bCs w:val="false"/>
          <w:color w:val="000000"/>
        </w:rPr>
        <w:t xml:space="preserve"> de contrapartida por parte deste Município). Informa-se que este é o valor máximo para a abertura dos lances da respectiva licitação.</w:t>
      </w:r>
    </w:p>
    <w:p>
      <w:pPr>
        <w:pStyle w:val="ListParagraph"/>
        <w:ind w:hanging="2" w:left="0"/>
        <w:jc w:val="both"/>
        <w:rPr>
          <w:color w:val="000000"/>
        </w:rPr>
      </w:pPr>
      <w:r>
        <w:rPr>
          <w:color w:val="000000"/>
        </w:rPr>
      </w:r>
    </w:p>
    <w:tbl>
      <w:tblPr>
        <w:tblStyle w:val="Tabelacomgrade"/>
        <w:tblW w:w="9344"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4"/>
        <w:gridCol w:w="9059"/>
      </w:tblGrid>
      <w:tr>
        <w:trPr/>
        <w:tc>
          <w:tcPr>
            <w:tcW w:w="9343" w:type="dxa"/>
            <w:gridSpan w:val="2"/>
            <w:tcBorders>
              <w:top w:val="nil"/>
              <w:left w:val="nil"/>
              <w:bottom w:val="nil"/>
              <w:right w:val="nil"/>
            </w:tcBorders>
            <w:shd w:color="auto" w:fill="FFFFFF" w:themeFill="background1" w:val="clear"/>
          </w:tcPr>
          <w:p>
            <w:pPr>
              <w:pStyle w:val="Normal"/>
              <w:widowControl/>
              <w:spacing w:before="0" w:after="0"/>
              <w:ind w:right="-2"/>
              <w:jc w:val="both"/>
              <w:rPr>
                <w:rFonts w:ascii="Arial" w:hAnsi="Arial" w:cs="Arial"/>
                <w:b/>
                <w:bCs/>
                <w:sz w:val="22"/>
                <w:szCs w:val="22"/>
              </w:rPr>
            </w:pPr>
            <w:r>
              <w:rPr>
                <w:rFonts w:eastAsia="Times New Roman" w:cs="Arial" w:ascii="Arial" w:hAnsi="Arial"/>
                <w:b/>
                <w:bCs/>
                <w:kern w:val="0"/>
                <w:sz w:val="22"/>
                <w:szCs w:val="22"/>
                <w:lang w:val="pt-BR" w:eastAsia="pt-BR" w:bidi="ar-SA"/>
              </w:rPr>
              <w:t>2.2.1. Parâmetros utilizados (documentos em anexo):</w:t>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Portal Nacional de Contratações Públicas – PNCP;</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Painel de Preços do Governo Federal;</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Banco de Preços em Saúde;</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restart"/>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Contratações similares feitas pela Administração Pública, inclusive mediante sistema de registro de preços;</w:t>
            </w:r>
          </w:p>
        </w:tc>
      </w:tr>
      <w:tr>
        <w:trPr>
          <w:trHeight w:val="182" w:hRule="atLeast"/>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restart"/>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Dados de pesquisa publicada em mídia especializada ou de tabela de referência formalmente aprovada pelo Poder Executivo Federal; (Ex. Tabela Fipe, CMED, tabelas oficiais.)</w:t>
            </w:r>
          </w:p>
        </w:tc>
      </w:tr>
      <w:tr>
        <w:trPr>
          <w:trHeight w:val="182" w:hRule="atLeast"/>
        </w:trPr>
        <w:tc>
          <w:tcPr>
            <w:tcW w:w="284" w:type="dxa"/>
            <w:tcBorders>
              <w:top w:val="single" w:sz="12" w:space="0" w:color="000000"/>
              <w:left w:val="nil"/>
              <w:bottom w:val="nil"/>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nil"/>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Sítios eletrônicos especializados ou de domínio amplo;</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rHeight w:val="183"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eastAsia="Times New Roman" w:cs="Arial" w:ascii="Arial" w:hAnsi="Arial"/>
                <w:b/>
                <w:bCs/>
                <w:color w:val="FF0000"/>
                <w:kern w:val="0"/>
                <w:sz w:val="22"/>
                <w:szCs w:val="22"/>
                <w:lang w:val="pt-BR" w:eastAsia="pt-BR" w:bidi="ar-SA"/>
              </w:rPr>
              <w:t>x</w:t>
            </w:r>
          </w:p>
        </w:tc>
        <w:tc>
          <w:tcPr>
            <w:tcW w:w="9059" w:type="dxa"/>
            <w:vMerge w:val="restart"/>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Pesquisa direta com, no mínimo, 3 (três) fornecedores, mediante solicitação formal de cotação, por meio de ofício ou e-mail;</w:t>
            </w:r>
          </w:p>
        </w:tc>
      </w:tr>
      <w:tr>
        <w:trPr>
          <w:trHeight w:val="182" w:hRule="atLeast"/>
        </w:trPr>
        <w:tc>
          <w:tcPr>
            <w:tcW w:w="284" w:type="dxa"/>
            <w:tcBorders>
              <w:top w:val="single" w:sz="12" w:space="0" w:color="000000"/>
              <w:left w:val="nil"/>
              <w:bottom w:val="nil"/>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vMerge w:val="continue"/>
            <w:tcBorders>
              <w:top w:val="dashSmallGap" w:sz="8" w:space="0" w:color="000000"/>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nil"/>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eastAsia="Times New Roman" w:cs="Arial" w:ascii="Arial" w:hAnsi="Arial"/>
                <w:kern w:val="0"/>
                <w:sz w:val="22"/>
                <w:szCs w:val="22"/>
                <w:lang w:val="pt-BR" w:eastAsia="pt-BR" w:bidi="ar-SA"/>
              </w:rPr>
              <w:t>Pesquisa através de notas fiscais eletrônicas emitidas em características similares;</w:t>
            </w:r>
          </w:p>
        </w:tc>
      </w:tr>
      <w:tr>
        <w:trPr/>
        <w:tc>
          <w:tcPr>
            <w:tcW w:w="284" w:type="dxa"/>
            <w:tcBorders>
              <w:top w:val="single" w:sz="12" w:space="0" w:color="000000"/>
              <w:left w:val="nil"/>
              <w:bottom w:val="single" w:sz="12" w:space="0" w:color="000000"/>
              <w:right w:val="nil"/>
            </w:tcBorders>
          </w:tcPr>
          <w:p>
            <w:pPr>
              <w:pStyle w:val="ListParagraph"/>
              <w:widowControl/>
              <w:spacing w:before="0" w:after="0"/>
              <w:ind w:hanging="2" w:left="0" w:right="-2"/>
              <w:contextualSpacing/>
              <w:jc w:val="center"/>
              <w:rPr>
                <w:rFonts w:ascii="Arial" w:hAnsi="Arial" w:cs="Arial"/>
                <w:b/>
                <w:bCs/>
                <w:color w:val="FF0000"/>
                <w:sz w:val="22"/>
                <w:szCs w:val="22"/>
              </w:rPr>
            </w:pPr>
            <w:r>
              <w:rPr>
                <w:rFonts w:cs="Arial" w:ascii="Arial" w:hAnsi="Arial"/>
                <w:b/>
                <w:bCs/>
                <w:color w:val="FF0000"/>
                <w:sz w:val="22"/>
                <w:szCs w:val="22"/>
              </w:rPr>
            </w:r>
          </w:p>
        </w:tc>
        <w:tc>
          <w:tcPr>
            <w:tcW w:w="9059" w:type="dxa"/>
            <w:tcBorders>
              <w:top w:val="nil"/>
              <w:left w:val="nil"/>
              <w:bottom w:val="nil"/>
              <w:right w:val="nil"/>
            </w:tcBorders>
          </w:tcPr>
          <w:p>
            <w:pPr>
              <w:pStyle w:val="ListParagraph"/>
              <w:widowControl/>
              <w:spacing w:before="0" w:after="0"/>
              <w:ind w:hanging="2" w:left="0" w:right="-2"/>
              <w:contextualSpacing/>
              <w:jc w:val="both"/>
              <w:rPr>
                <w:rFonts w:ascii="Arial" w:hAnsi="Arial" w:cs="Arial"/>
                <w:sz w:val="22"/>
                <w:szCs w:val="22"/>
              </w:rPr>
            </w:pPr>
            <w:r>
              <w:rPr>
                <w:rFonts w:cs="Arial" w:ascii="Arial" w:hAnsi="Arial"/>
                <w:sz w:val="22"/>
                <w:szCs w:val="22"/>
              </w:rPr>
            </w:r>
          </w:p>
        </w:tc>
      </w:tr>
      <w:tr>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hanging="2" w:left="0" w:right="-2"/>
              <w:contextualSpacing/>
              <w:jc w:val="center"/>
              <w:rPr>
                <w:rFonts w:ascii="Arial" w:hAnsi="Arial" w:cs="Arial"/>
                <w:b/>
                <w:bCs/>
                <w:color w:val="000000"/>
                <w:sz w:val="22"/>
                <w:szCs w:val="22"/>
              </w:rPr>
            </w:pPr>
            <w:r>
              <w:rPr>
                <w:rFonts w:cs="Arial" w:ascii="Arial" w:hAnsi="Arial"/>
                <w:b/>
                <w:bCs/>
                <w:color w:val="000000"/>
                <w:sz w:val="22"/>
                <w:szCs w:val="22"/>
              </w:rPr>
            </w:r>
          </w:p>
        </w:tc>
        <w:tc>
          <w:tcPr>
            <w:tcW w:w="9059" w:type="dxa"/>
            <w:tcBorders>
              <w:top w:val="nil"/>
              <w:left w:val="single" w:sz="12" w:space="0" w:color="000000"/>
              <w:bottom w:val="nil"/>
              <w:right w:val="nil"/>
            </w:tcBorders>
          </w:tcPr>
          <w:p>
            <w:pPr>
              <w:pStyle w:val="ListParagraph"/>
              <w:widowControl/>
              <w:spacing w:before="0" w:after="0"/>
              <w:ind w:hanging="2" w:left="0" w:right="-2"/>
              <w:contextualSpacing/>
              <w:jc w:val="both"/>
              <w:rPr>
                <w:color w:val="000000"/>
              </w:rPr>
            </w:pPr>
            <w:r>
              <w:rPr>
                <w:rFonts w:eastAsia="Times New Roman" w:cs="Arial" w:ascii="Arial" w:hAnsi="Arial"/>
                <w:color w:val="000000"/>
                <w:kern w:val="0"/>
                <w:sz w:val="22"/>
                <w:szCs w:val="22"/>
                <w:lang w:val="pt-BR" w:eastAsia="pt-BR" w:bidi="ar-SA"/>
              </w:rPr>
              <w:t xml:space="preserve">Outros:  </w:t>
            </w:r>
            <w:r>
              <w:rPr>
                <w:rFonts w:eastAsia="Times New Roman" w:cs="Arial" w:ascii="Arial" w:hAnsi="Arial"/>
                <w:b/>
                <w:bCs/>
                <w:color w:val="000000"/>
                <w:kern w:val="0"/>
                <w:sz w:val="22"/>
                <w:szCs w:val="22"/>
                <w:lang w:val="pt-BR" w:eastAsia="pt-BR" w:bidi="ar-SA"/>
              </w:rPr>
              <w:t>MP 1.108/2022 e Lei 14.442/2022</w:t>
            </w:r>
          </w:p>
        </w:tc>
      </w:tr>
    </w:tbl>
    <w:p>
      <w:pPr>
        <w:pStyle w:val="ListParagraph"/>
        <w:ind w:hanging="2" w:left="0" w:right="-2"/>
        <w:jc w:val="both"/>
        <w:rPr>
          <w:rFonts w:ascii="Arial" w:hAnsi="Arial" w:cs="Arial"/>
          <w:color w:val="FF0000"/>
          <w:sz w:val="22"/>
          <w:szCs w:val="22"/>
          <w:u w:val="single"/>
        </w:rPr>
      </w:pPr>
      <w:r>
        <w:rPr>
          <w:rFonts w:cs="Arial" w:ascii="Arial" w:hAnsi="Arial"/>
          <w:color w:val="FF0000"/>
          <w:sz w:val="22"/>
          <w:szCs w:val="22"/>
          <w:u w:val="single"/>
        </w:rPr>
      </w:r>
    </w:p>
    <w:p>
      <w:pPr>
        <w:pStyle w:val="ListParagraph"/>
        <w:numPr>
          <w:ilvl w:val="0"/>
          <w:numId w:val="2"/>
        </w:numPr>
        <w:pBdr>
          <w:top w:val="single" w:sz="12" w:space="1" w:color="000000"/>
          <w:left w:val="single" w:sz="12" w:space="4" w:color="000000"/>
          <w:bottom w:val="single" w:sz="12" w:space="1" w:color="000000"/>
          <w:right w:val="single" w:sz="12" w:space="4" w:color="000000"/>
        </w:pBdr>
        <w:shd w:val="clear" w:color="auto" w:fill="C6D9F1" w:themeFill="text2" w:themeFillTint="33"/>
        <w:tabs>
          <w:tab w:val="clear" w:pos="720"/>
          <w:tab w:val="left" w:pos="284" w:leader="none"/>
        </w:tabs>
        <w:ind w:hanging="2" w:left="0" w:right="-2"/>
        <w:jc w:val="both"/>
        <w:rPr>
          <w:rFonts w:ascii="Arial" w:hAnsi="Arial" w:cs="Arial"/>
          <w:sz w:val="22"/>
          <w:szCs w:val="22"/>
        </w:rPr>
      </w:pPr>
      <w:r>
        <w:rPr>
          <w:rFonts w:cs="Arial" w:ascii="Arial" w:hAnsi="Arial"/>
          <w:b/>
          <w:bCs/>
          <w:sz w:val="22"/>
          <w:szCs w:val="22"/>
        </w:rPr>
        <w:t>Escolha da solução (consequência dos incisos V e VI do §1º do art. 15 do Decreto nº 3.537/2023):</w:t>
      </w:r>
    </w:p>
    <w:p>
      <w:pPr>
        <w:pStyle w:val="Normal"/>
        <w:ind w:firstLine="426" w:right="-2"/>
        <w:jc w:val="both"/>
        <w:rPr>
          <w:rFonts w:ascii="Arial" w:hAnsi="Arial" w:cs="Arial"/>
          <w:bCs/>
          <w:color w:themeColor="text1" w:val="000000"/>
          <w:sz w:val="22"/>
          <w:szCs w:val="22"/>
        </w:rPr>
      </w:pPr>
      <w:r>
        <w:rPr>
          <w:rFonts w:cs="Arial" w:ascii="Arial" w:hAnsi="Arial"/>
          <w:bCs/>
          <w:color w:themeColor="text1" w:val="000000"/>
          <w:sz w:val="22"/>
          <w:szCs w:val="22"/>
        </w:rPr>
      </w:r>
    </w:p>
    <w:p>
      <w:pPr>
        <w:pStyle w:val="Normal"/>
        <w:ind w:hanging="2" w:right="-2"/>
        <w:jc w:val="both"/>
        <w:rPr>
          <w:rFonts w:ascii="Arial" w:hAnsi="Arial" w:cs="Arial"/>
          <w:sz w:val="22"/>
          <w:szCs w:val="22"/>
        </w:rPr>
      </w:pPr>
      <w:r>
        <w:rPr>
          <w:rFonts w:cs="Arial" w:ascii="Arial" w:hAnsi="Arial"/>
          <w:b w:val="false"/>
          <w:bCs w:val="false"/>
          <w:color w:themeColor="text1" w:val="000000"/>
          <w:sz w:val="22"/>
          <w:szCs w:val="22"/>
        </w:rPr>
        <w:t>Após o levantamento não identificamos alternativas de solução no mercado para o problema apresentado que não seja a aquisição na forma descrita nesse estudo, tendo em vista que o objeto deste termo se origina de um convênio firmado com o Governo Federal. Assim, podemos afirmar que esta aquisição deverá proporcionar o correto atendimento à população bandeirantense e como isso ter seu direito constitucional de acesso ao serviço público, devendo este ser executado por servidores, a fim de garantir o atendimento de todos os cidadãos. Tal solução é a que mais enquadra as necessidades da Secretaria</w:t>
      </w:r>
    </w:p>
    <w:p>
      <w:pPr>
        <w:pStyle w:val="Normal"/>
        <w:ind w:hanging="0" w:left="-2"/>
        <w:jc w:val="both"/>
        <w:rPr>
          <w:b w:val="false"/>
          <w:bCs w:val="false"/>
        </w:rPr>
      </w:pPr>
      <w:r>
        <w:rPr>
          <w:rFonts w:ascii="Arial" w:hAnsi="Arial"/>
          <w:b w:val="false"/>
          <w:bCs w:val="false"/>
          <w:color w:themeColor="text1" w:val="000000"/>
          <w:sz w:val="22"/>
          <w:szCs w:val="22"/>
        </w:rPr>
        <w:t>Para a contratação em tela, verificou-se contratações similares feitas por outros órgãos e entidades da Administração, no intuito de identificar melhores práticas, metodologias e soluções que melhor se adequassem a nossa necessidade. Na oportunidade, constatamos que a forma de contratação é similar aos modelos adotados em outras contratações no âmbito da Administração Pública. Salienta-se ainda que esta é a forma atual adotada, atendendo perfeitamente as necessidades desta administração.</w:t>
      </w:r>
    </w:p>
    <w:p>
      <w:pPr>
        <w:pStyle w:val="ListParagraph"/>
        <w:ind w:hanging="2" w:left="0"/>
        <w:jc w:val="both"/>
        <w:rPr>
          <w:rFonts w:ascii="Arial" w:hAnsi="Arial"/>
          <w:b w:val="false"/>
          <w:bCs w:val="false"/>
        </w:rPr>
      </w:pPr>
      <w:r>
        <w:rPr>
          <w:rFonts w:ascii="Arial" w:hAnsi="Arial"/>
          <w:b w:val="false"/>
          <w:bCs w:val="false"/>
          <w:color w:val="000000"/>
          <w:sz w:val="22"/>
          <w:szCs w:val="22"/>
          <w:shd w:fill="auto" w:val="clear"/>
        </w:rPr>
        <w:t xml:space="preserve">De tabela elaborada pelo MÉTODO ESTATÍSTICO de média de preços dos orçamentos identificados acima, restou estimado que preço inicial unitário para contratação do equipamento é de </w:t>
      </w:r>
      <w:r>
        <w:rPr>
          <w:rFonts w:ascii="Arial" w:hAnsi="Arial"/>
          <w:b/>
          <w:bCs/>
          <w:color w:val="000000"/>
          <w:sz w:val="22"/>
          <w:szCs w:val="22"/>
          <w:shd w:fill="auto" w:val="clear"/>
        </w:rPr>
        <w:t>R$ 209.110,00</w:t>
      </w:r>
      <w:r>
        <w:rPr>
          <w:rFonts w:ascii="Arial" w:hAnsi="Arial"/>
          <w:b w:val="false"/>
          <w:bCs w:val="false"/>
          <w:color w:val="000000"/>
          <w:sz w:val="22"/>
          <w:szCs w:val="22"/>
          <w:shd w:fill="auto" w:val="clear"/>
        </w:rPr>
        <w:t>(duzentos e nove mil, cento e dez reais).</w:t>
      </w:r>
    </w:p>
    <w:p>
      <w:pPr>
        <w:pStyle w:val="Normal"/>
        <w:ind w:hanging="0" w:left="-2"/>
        <w:jc w:val="both"/>
        <w:rPr>
          <w:rFonts w:ascii="Arial" w:hAnsi="Arial"/>
        </w:rPr>
      </w:pPr>
      <w:r>
        <w:rPr>
          <w:rFonts w:ascii="Arial" w:hAnsi="Arial"/>
          <w:sz w:val="22"/>
          <w:szCs w:val="22"/>
        </w:rPr>
        <w:t>O objeto desta contratação se enquadra na categoria de equipamento, por possuir padrões de desempenho e características gerais e específicas usualmente encontradas no mercado, de acordo com a Lei Federal 14.133/2021 e Decreto Municipal 3.537/2023.</w:t>
      </w:r>
    </w:p>
    <w:p>
      <w:pPr>
        <w:pStyle w:val="Normal"/>
        <w:ind w:hanging="2" w:right="-2"/>
        <w:jc w:val="both"/>
        <w:rPr>
          <w:rFonts w:ascii="Arial" w:hAnsi="Arial"/>
        </w:rPr>
      </w:pPr>
      <w:r>
        <w:rPr>
          <w:rFonts w:cs="Arial" w:ascii="Arial" w:hAnsi="Arial"/>
          <w:b w:val="false"/>
          <w:bCs w:val="false"/>
          <w:sz w:val="22"/>
          <w:szCs w:val="22"/>
        </w:rPr>
        <w:t>Para que se possa delinear qual a modalidade contratação que deverá se dar a escolha do fornecedor há de ser explanado a forma que melhor atende os princípios da administração, vez que a correta escolha do procedimento licitatório é fundamental para que o município possa realizar um certame juridicamente seguro, rápido e eficaz.</w:t>
      </w:r>
    </w:p>
    <w:p>
      <w:pPr>
        <w:pStyle w:val="Normal"/>
        <w:ind w:hanging="0" w:left="-2"/>
        <w:jc w:val="both"/>
        <w:rPr>
          <w:rFonts w:ascii="Arial" w:hAnsi="Arial"/>
        </w:rPr>
      </w:pPr>
      <w:r>
        <w:rPr>
          <w:rFonts w:ascii="Arial" w:hAnsi="Arial"/>
          <w:sz w:val="22"/>
          <w:szCs w:val="22"/>
        </w:rPr>
        <w:t>O dever de licitar encontra-se insculpido no art. 37, XXI da Constituição Federal, configurando limitação imposta à administração pública, em todos os seus níveis, com o objetivo de garantir a proposta mais vantajosa na aquisição de bens ou contratação de serviços pelo Poder Público.</w:t>
      </w:r>
    </w:p>
    <w:p>
      <w:pPr>
        <w:pStyle w:val="Normal"/>
        <w:ind w:hanging="0" w:left="-2"/>
        <w:jc w:val="both"/>
        <w:rPr>
          <w:rFonts w:ascii="Arial" w:hAnsi="Arial"/>
        </w:rPr>
      </w:pPr>
      <w:r>
        <w:rPr>
          <w:rFonts w:ascii="Arial" w:hAnsi="Arial"/>
          <w:sz w:val="22"/>
          <w:szCs w:val="22"/>
        </w:rPr>
        <w:t>Nesse sentido, os procedimentos necessários à escorreita realização dos certames licitatórios e das contratações entre a administração pública e os particulares estão previstos na Lei nº. 14.133/2021.</w:t>
      </w:r>
    </w:p>
    <w:p>
      <w:pPr>
        <w:pStyle w:val="Normal"/>
        <w:ind w:hanging="0" w:left="-2"/>
        <w:jc w:val="both"/>
        <w:rPr>
          <w:rFonts w:ascii="Arial" w:hAnsi="Arial"/>
        </w:rPr>
      </w:pPr>
      <w:r>
        <w:rPr>
          <w:rFonts w:ascii="Arial" w:hAnsi="Arial"/>
          <w:color w:themeColor="text1" w:val="000000"/>
          <w:sz w:val="22"/>
          <w:szCs w:val="22"/>
          <w:u w:val="single"/>
        </w:rPr>
        <w:t>Considerando o valor estimado do equipamento temos que a dispensa de licitação não se aplica à presente contratação face o disposto no art.75, da Lei nº. 14.133/2021.</w:t>
      </w:r>
    </w:p>
    <w:p>
      <w:pPr>
        <w:pStyle w:val="Normal"/>
        <w:ind w:hanging="0" w:left="-2"/>
        <w:jc w:val="both"/>
        <w:rPr>
          <w:rFonts w:ascii="Arial" w:hAnsi="Arial"/>
        </w:rPr>
      </w:pPr>
      <w:r>
        <w:rPr>
          <w:rFonts w:ascii="Arial" w:hAnsi="Arial"/>
          <w:color w:themeColor="text1" w:val="000000"/>
          <w:sz w:val="22"/>
          <w:szCs w:val="22"/>
        </w:rPr>
        <w:t xml:space="preserve">De outro lado a Lei nº 14.133/2021 (Nova Lei de Licitações) em Art.18, há disposição que </w:t>
      </w:r>
      <w:r>
        <w:rPr>
          <w:rFonts w:ascii="Arial" w:hAnsi="Arial"/>
          <w:sz w:val="22"/>
          <w:szCs w:val="22"/>
        </w:rPr>
        <w:t>na fase preparatória deve ser abordado todas as considerações técnicas, mercadológicas e de gestão que podem interferir na contratação, prevendo 5 (cinco) modalidades de licitação: pregão; concorrência; concurso; leilão; diálogo competitivo.</w:t>
      </w:r>
    </w:p>
    <w:p>
      <w:pPr>
        <w:pStyle w:val="Normal"/>
        <w:ind w:hanging="0" w:left="-2"/>
        <w:jc w:val="both"/>
        <w:rPr>
          <w:rFonts w:ascii="Arial" w:hAnsi="Arial"/>
        </w:rPr>
      </w:pPr>
      <w:r>
        <w:rPr>
          <w:rFonts w:ascii="Arial" w:hAnsi="Arial"/>
          <w:sz w:val="22"/>
          <w:szCs w:val="22"/>
        </w:rPr>
        <w:t>O artigo 6º da NLLC, que prevê diversas definições, assenta, em seu inciso XLI, que o pregão é modalidade de licitação obrigatória para aquisição de bens e serviços comuns, cujo critério de julgamento poderá ser o de menor preço ou o de maior desconto. Não obstante, o mesmo dispositivo prevê, no inciso XXXVIII, que a concorrência é modalidade de licitação para contratação de bens e serviços especiais e de obras e serviços comuns e especiais de engenharia.</w:t>
      </w:r>
    </w:p>
    <w:p>
      <w:pPr>
        <w:pStyle w:val="Normal"/>
        <w:ind w:hanging="2" w:right="-2"/>
        <w:jc w:val="both"/>
        <w:rPr>
          <w:rFonts w:ascii="Arial" w:hAnsi="Arial"/>
        </w:rPr>
      </w:pPr>
      <w:r>
        <w:rPr>
          <w:rFonts w:cs="Arial" w:ascii="Arial" w:hAnsi="Arial"/>
          <w:b w:val="false"/>
          <w:bCs w:val="false"/>
          <w:sz w:val="22"/>
          <w:szCs w:val="22"/>
        </w:rPr>
        <w:t xml:space="preserve">O artigo 29 de mesmo comando legal dispõe que a concorrência e pregão seguem o mesmo rito processual, previsto em seu artigo 17, devendo-se adotar o pregão sempre que o objeto possuir padrões de desempenho e qualidade que possam ser objetivamente definidos pelo edital, por meio de especificações usuais de mercado. </w:t>
      </w:r>
    </w:p>
    <w:p>
      <w:pPr>
        <w:pStyle w:val="Normal"/>
        <w:ind w:hanging="2" w:right="-2"/>
        <w:jc w:val="both"/>
        <w:rPr>
          <w:rFonts w:ascii="Arial" w:hAnsi="Arial"/>
        </w:rPr>
      </w:pPr>
      <w:r>
        <w:rPr>
          <w:rFonts w:cs="Arial" w:ascii="Arial" w:hAnsi="Arial"/>
          <w:sz w:val="22"/>
          <w:szCs w:val="22"/>
        </w:rPr>
        <w:t xml:space="preserve">Com lastro na natureza do objeto e a estimativa do valor envolvido, </w:t>
      </w:r>
      <w:r>
        <w:rPr>
          <w:rFonts w:cs="Arial" w:ascii="Arial" w:hAnsi="Arial"/>
          <w:b/>
          <w:sz w:val="22"/>
          <w:szCs w:val="22"/>
          <w:u w:val="single"/>
        </w:rPr>
        <w:t>a modalidade de licitação que melhor atenderá a administração na presente contratação é o pregão</w:t>
      </w:r>
      <w:r>
        <w:rPr>
          <w:rFonts w:cs="Arial" w:ascii="Arial" w:hAnsi="Arial"/>
          <w:sz w:val="22"/>
          <w:szCs w:val="22"/>
        </w:rPr>
        <w:t>, em especial porque é obrigatória para aquisição de bens e serviços comuns (Lei nº 14.133/2021, no seu inciso XLI do artigo 6º), cujo critério de julgamento poderá ser o de menor preço ou o de maior desconto, presencial ou eletrônico através de um de seu procedimento especiais/auxiliares.</w:t>
      </w:r>
    </w:p>
    <w:p>
      <w:pPr>
        <w:pStyle w:val="Normal"/>
        <w:ind w:hanging="0" w:left="-2"/>
        <w:jc w:val="both"/>
        <w:rPr>
          <w:rFonts w:ascii="Arial" w:hAnsi="Arial"/>
        </w:rPr>
      </w:pPr>
      <w:r>
        <w:rPr>
          <w:rFonts w:ascii="Arial" w:hAnsi="Arial"/>
          <w:sz w:val="22"/>
          <w:szCs w:val="22"/>
        </w:rPr>
        <w:t>Face as inovações trazidas Lei nº 14.133/2021 (Nova Lei de Licitações), há de se delimitar qual forma deve linear o novo pregão, o critério de julgamento se menor preço ou de maior desconto e qual procedimento especial/auxiliar será adotado.</w:t>
      </w:r>
    </w:p>
    <w:p>
      <w:pPr>
        <w:pStyle w:val="Normal"/>
        <w:ind w:hanging="0" w:left="-2"/>
        <w:jc w:val="both"/>
        <w:rPr>
          <w:rFonts w:ascii="Arial" w:hAnsi="Arial"/>
        </w:rPr>
      </w:pPr>
      <w:r>
        <w:rPr>
          <w:rFonts w:ascii="Arial" w:hAnsi="Arial"/>
          <w:sz w:val="22"/>
          <w:szCs w:val="22"/>
        </w:rPr>
        <w:t xml:space="preserve">A Lei de Licitações – Lei nº 14.133/2021 tem o </w:t>
      </w:r>
      <w:r>
        <w:rPr>
          <w:rFonts w:ascii="Arial" w:hAnsi="Arial"/>
          <w:sz w:val="22"/>
          <w:szCs w:val="22"/>
          <w:u w:val="single"/>
        </w:rPr>
        <w:t>pregão eletrônico como regra</w:t>
      </w:r>
      <w:r>
        <w:rPr>
          <w:rFonts w:ascii="Arial" w:hAnsi="Arial"/>
          <w:sz w:val="22"/>
          <w:szCs w:val="22"/>
        </w:rPr>
        <w:t>, restando restrita a forma presencial apenas em hipótese devidamente justificada e excepcional, logo aplica-se o presente a modalidade eletrônica.</w:t>
      </w:r>
    </w:p>
    <w:p>
      <w:pPr>
        <w:pStyle w:val="Normal"/>
        <w:ind w:hanging="0" w:left="-2"/>
        <w:jc w:val="both"/>
        <w:rPr>
          <w:rFonts w:ascii="Arial" w:hAnsi="Arial"/>
        </w:rPr>
      </w:pPr>
      <w:r>
        <w:rPr>
          <w:rFonts w:ascii="Arial" w:hAnsi="Arial"/>
          <w:sz w:val="22"/>
          <w:szCs w:val="22"/>
        </w:rPr>
        <w:t>No tocante ao critério de julgamento da proposta além do disposto na Lei de Licitações – Lei nº 14.133/2021, o Município disciplinou em Art. 79 do Decreto nº 3.537/2023 de 09 de maio de 2023, quais poderão ser utilizados, a saber:</w:t>
      </w:r>
    </w:p>
    <w:p>
      <w:pPr>
        <w:pStyle w:val="Normal"/>
        <w:ind w:hanging="0" w:left="-2"/>
        <w:jc w:val="both"/>
        <w:rPr>
          <w:rFonts w:ascii="Arial" w:hAnsi="Arial"/>
          <w:sz w:val="22"/>
          <w:szCs w:val="22"/>
        </w:rPr>
      </w:pPr>
      <w:r>
        <w:rPr>
          <w:rFonts w:ascii="Arial" w:hAnsi="Arial"/>
          <w:sz w:val="22"/>
          <w:szCs w:val="22"/>
        </w:rPr>
      </w:r>
    </w:p>
    <w:p>
      <w:pPr>
        <w:pStyle w:val="Normal"/>
        <w:widowControl/>
        <w:suppressAutoHyphens w:val="false"/>
        <w:bidi w:val="0"/>
        <w:spacing w:before="0" w:after="0"/>
        <w:ind w:hanging="0" w:left="0" w:right="0"/>
        <w:jc w:val="both"/>
        <w:rPr>
          <w:rFonts w:ascii="Arial" w:hAnsi="Arial"/>
        </w:rPr>
      </w:pPr>
      <w:r>
        <w:rPr>
          <w:rFonts w:ascii="Arial" w:hAnsi="Arial"/>
          <w:sz w:val="22"/>
          <w:szCs w:val="22"/>
        </w:rPr>
        <w:t>Art. 79. Poderão ser utilizados como critérios de julgamento:</w:t>
      </w:r>
    </w:p>
    <w:p>
      <w:pPr>
        <w:pStyle w:val="Normal"/>
        <w:ind w:hanging="0" w:left="720"/>
        <w:jc w:val="both"/>
        <w:rPr>
          <w:rFonts w:ascii="Arial" w:hAnsi="Arial"/>
        </w:rPr>
      </w:pPr>
      <w:r>
        <w:rPr>
          <w:rFonts w:ascii="Arial" w:hAnsi="Arial"/>
          <w:sz w:val="22"/>
          <w:szCs w:val="22"/>
        </w:rPr>
        <w:t>I - menor preço;</w:t>
      </w:r>
    </w:p>
    <w:p>
      <w:pPr>
        <w:pStyle w:val="Normal"/>
        <w:ind w:hanging="0" w:left="720"/>
        <w:jc w:val="both"/>
        <w:rPr>
          <w:rFonts w:ascii="Arial" w:hAnsi="Arial"/>
        </w:rPr>
      </w:pPr>
      <w:r>
        <w:rPr>
          <w:rFonts w:ascii="Arial" w:hAnsi="Arial"/>
          <w:sz w:val="22"/>
          <w:szCs w:val="22"/>
        </w:rPr>
        <w:t>II - maior desconto;</w:t>
      </w:r>
    </w:p>
    <w:p>
      <w:pPr>
        <w:pStyle w:val="Normal"/>
        <w:ind w:hanging="0" w:left="720"/>
        <w:jc w:val="both"/>
        <w:rPr>
          <w:rFonts w:ascii="Arial" w:hAnsi="Arial"/>
        </w:rPr>
      </w:pPr>
      <w:r>
        <w:rPr>
          <w:rFonts w:ascii="Arial" w:hAnsi="Arial"/>
          <w:sz w:val="22"/>
          <w:szCs w:val="22"/>
        </w:rPr>
        <w:t>III - melhor técnica ou conteúdo artístico;</w:t>
      </w:r>
    </w:p>
    <w:p>
      <w:pPr>
        <w:pStyle w:val="Normal"/>
        <w:ind w:hanging="0" w:left="720"/>
        <w:jc w:val="both"/>
        <w:rPr>
          <w:rFonts w:ascii="Arial" w:hAnsi="Arial"/>
        </w:rPr>
      </w:pPr>
      <w:r>
        <w:rPr>
          <w:rFonts w:ascii="Arial" w:hAnsi="Arial"/>
          <w:sz w:val="22"/>
          <w:szCs w:val="22"/>
        </w:rPr>
        <w:t>IV - técnica e preço;</w:t>
      </w:r>
    </w:p>
    <w:p>
      <w:pPr>
        <w:pStyle w:val="Normal"/>
        <w:ind w:hanging="0" w:left="720"/>
        <w:jc w:val="both"/>
        <w:rPr>
          <w:rFonts w:ascii="Arial" w:hAnsi="Arial"/>
        </w:rPr>
      </w:pPr>
      <w:r>
        <w:rPr>
          <w:rFonts w:ascii="Arial" w:hAnsi="Arial"/>
          <w:sz w:val="22"/>
          <w:szCs w:val="22"/>
        </w:rPr>
        <w:t>V - maior lance, no caso de leilão;</w:t>
      </w:r>
    </w:p>
    <w:p>
      <w:pPr>
        <w:pStyle w:val="Normal"/>
        <w:ind w:hanging="0" w:left="720"/>
        <w:jc w:val="both"/>
        <w:rPr>
          <w:rFonts w:ascii="Arial" w:hAnsi="Arial"/>
        </w:rPr>
      </w:pPr>
      <w:r>
        <w:rPr>
          <w:rFonts w:ascii="Arial" w:hAnsi="Arial"/>
          <w:sz w:val="22"/>
          <w:szCs w:val="22"/>
        </w:rPr>
        <w:t>VI - maior retorno econômico.</w:t>
      </w:r>
    </w:p>
    <w:p>
      <w:pPr>
        <w:pStyle w:val="Normal"/>
        <w:ind w:hanging="0" w:left="-2"/>
        <w:jc w:val="both"/>
        <w:rPr>
          <w:rFonts w:ascii="Arial" w:hAnsi="Arial"/>
          <w:sz w:val="22"/>
          <w:szCs w:val="22"/>
        </w:rPr>
      </w:pPr>
      <w:r>
        <w:rPr>
          <w:rFonts w:ascii="Arial" w:hAnsi="Arial"/>
          <w:sz w:val="22"/>
          <w:szCs w:val="22"/>
        </w:rPr>
      </w:r>
    </w:p>
    <w:p>
      <w:pPr>
        <w:pStyle w:val="Normal"/>
        <w:ind w:hanging="0" w:left="-2"/>
        <w:jc w:val="both"/>
        <w:rPr>
          <w:rFonts w:ascii="Arial" w:hAnsi="Arial"/>
        </w:rPr>
      </w:pPr>
      <w:r>
        <w:rPr>
          <w:rFonts w:ascii="Arial" w:hAnsi="Arial"/>
          <w:sz w:val="22"/>
          <w:szCs w:val="22"/>
        </w:rPr>
        <w:t xml:space="preserve"> </w:t>
      </w:r>
      <w:r>
        <w:rPr>
          <w:rFonts w:ascii="Arial" w:hAnsi="Arial"/>
          <w:sz w:val="22"/>
          <w:szCs w:val="22"/>
        </w:rPr>
        <w:tab/>
        <w:t>De mesmo Decreto Municipal nº 3.537/2023, consta em Arts. 80 e 81:</w:t>
      </w:r>
    </w:p>
    <w:p>
      <w:pPr>
        <w:pStyle w:val="Normal"/>
        <w:ind w:hanging="0" w:left="-2"/>
        <w:jc w:val="both"/>
        <w:rPr>
          <w:rFonts w:ascii="Arial" w:hAnsi="Arial"/>
          <w:sz w:val="22"/>
          <w:szCs w:val="22"/>
        </w:rPr>
      </w:pPr>
      <w:r>
        <w:rPr>
          <w:rFonts w:ascii="Arial" w:hAnsi="Arial"/>
          <w:sz w:val="22"/>
          <w:szCs w:val="22"/>
        </w:rPr>
      </w:r>
    </w:p>
    <w:p>
      <w:pPr>
        <w:pStyle w:val="Normal"/>
        <w:ind w:hanging="2" w:right="-2"/>
        <w:jc w:val="both"/>
        <w:rPr>
          <w:rFonts w:ascii="Arial" w:hAnsi="Arial"/>
        </w:rPr>
      </w:pPr>
      <w:r>
        <w:rPr>
          <w:rFonts w:cs="Arial" w:ascii="Arial" w:hAnsi="Arial"/>
          <w:sz w:val="22"/>
          <w:szCs w:val="22"/>
        </w:rPr>
        <w:t>Art. 80. O critério de julgamento pelo menor preço ou maior desconto considerará o menor dispêndio para a Administração Pública, atendidos os parâmetros mínimos de qualidade definidos no instrumento convocatório.</w:t>
      </w:r>
    </w:p>
    <w:p>
      <w:pPr>
        <w:pStyle w:val="Normal"/>
        <w:ind w:hanging="2" w:right="-2"/>
        <w:jc w:val="both"/>
        <w:rPr>
          <w:rFonts w:ascii="Arial" w:hAnsi="Arial"/>
        </w:rPr>
      </w:pPr>
      <w:r>
        <w:rPr>
          <w:rFonts w:cs="Arial" w:ascii="Arial" w:hAnsi="Arial"/>
          <w:sz w:val="22"/>
          <w:szCs w:val="22"/>
        </w:rPr>
        <w:t>§1º Os custos indiretos, relacionados às despesas de manutenção, utilização, reposição, depreciação e impacto ambiental, entre outros fatores, poderão ser considerados para a definição do menor dispêndio, sempre que objetivamente mensuráveis, conforme parâmetros definidos no instrumento convocatório.</w:t>
      </w:r>
    </w:p>
    <w:p>
      <w:pPr>
        <w:pStyle w:val="Normal"/>
        <w:widowControl/>
        <w:suppressAutoHyphens w:val="false"/>
        <w:bidi w:val="0"/>
        <w:spacing w:before="0" w:after="0"/>
        <w:ind w:hanging="0" w:left="0" w:right="0"/>
        <w:jc w:val="both"/>
        <w:rPr>
          <w:rFonts w:ascii="Arial" w:hAnsi="Arial"/>
        </w:rPr>
      </w:pPr>
      <w:r>
        <w:rPr>
          <w:rFonts w:ascii="Arial" w:hAnsi="Arial"/>
          <w:sz w:val="22"/>
          <w:szCs w:val="22"/>
        </w:rPr>
        <w:t>§2º Parâmetros adicionais de mensuração de custos indiretos poderão ser estabelecidos em ato do titular da Pasta responsável pelo procedimento licitatório.</w:t>
      </w:r>
    </w:p>
    <w:p>
      <w:pPr>
        <w:pStyle w:val="Normal"/>
        <w:widowControl/>
        <w:suppressAutoHyphens w:val="false"/>
        <w:bidi w:val="0"/>
        <w:spacing w:before="0" w:after="0"/>
        <w:ind w:hanging="0" w:left="0" w:right="0"/>
        <w:jc w:val="both"/>
        <w:rPr>
          <w:sz w:val="22"/>
          <w:szCs w:val="22"/>
        </w:rPr>
      </w:pPr>
      <w:r>
        <w:rPr>
          <w:sz w:val="22"/>
          <w:szCs w:val="22"/>
        </w:rPr>
      </w:r>
    </w:p>
    <w:p>
      <w:pPr>
        <w:pStyle w:val="Normal"/>
        <w:widowControl/>
        <w:suppressAutoHyphens w:val="false"/>
        <w:bidi w:val="0"/>
        <w:spacing w:before="0" w:after="0"/>
        <w:ind w:hanging="0" w:left="0" w:right="0"/>
        <w:jc w:val="both"/>
        <w:rPr>
          <w:rFonts w:ascii="Arial" w:hAnsi="Arial"/>
        </w:rPr>
      </w:pPr>
      <w:r>
        <w:rPr>
          <w:rFonts w:ascii="Arial" w:hAnsi="Arial"/>
          <w:sz w:val="22"/>
          <w:szCs w:val="22"/>
        </w:rPr>
        <w:t xml:space="preserve">Art. 81. O critério de julgamento por maior desconto utilizará como referência o preço total estimado, fixado pelo instrumento convocatório, e o desconto será estendido aos eventuais termos aditivos. </w:t>
      </w:r>
    </w:p>
    <w:p>
      <w:pPr>
        <w:pStyle w:val="Normal"/>
        <w:widowControl/>
        <w:suppressAutoHyphens w:val="false"/>
        <w:bidi w:val="0"/>
        <w:spacing w:before="0" w:after="0"/>
        <w:ind w:hanging="0" w:left="57" w:right="0"/>
        <w:jc w:val="both"/>
        <w:rPr>
          <w:rFonts w:ascii="Arial" w:hAnsi="Arial"/>
        </w:rPr>
      </w:pPr>
      <w:r>
        <w:rPr>
          <w:rFonts w:ascii="Arial" w:hAnsi="Arial"/>
          <w:sz w:val="22"/>
          <w:szCs w:val="22"/>
        </w:rPr>
        <w:t>§1º No caso de obras ou serviços de engenharia, o percentual de desconto apresentado pelos licitantes preferencialmente incidirá linearmente sobre os preços de todos os itens do orçamento estimado constante do instrumento convocatório.</w:t>
      </w:r>
    </w:p>
    <w:p>
      <w:pPr>
        <w:pStyle w:val="Normal"/>
        <w:widowControl/>
        <w:suppressAutoHyphens w:val="false"/>
        <w:bidi w:val="0"/>
        <w:spacing w:before="0" w:after="0"/>
        <w:ind w:hanging="0" w:left="0" w:right="0"/>
        <w:jc w:val="both"/>
        <w:rPr>
          <w:rFonts w:ascii="Arial" w:hAnsi="Arial"/>
        </w:rPr>
      </w:pPr>
      <w:r>
        <w:rPr>
          <w:rFonts w:ascii="Arial" w:hAnsi="Arial"/>
          <w:sz w:val="22"/>
          <w:szCs w:val="22"/>
        </w:rPr>
        <w:t>§2º O critério de julgamento pelo maior desconto poderá incidir sobre tabelas de preços oficiais, públicas ou privadas.</w:t>
      </w:r>
    </w:p>
    <w:p>
      <w:pPr>
        <w:pStyle w:val="Normal"/>
        <w:widowControl/>
        <w:suppressAutoHyphens w:val="false"/>
        <w:bidi w:val="0"/>
        <w:spacing w:before="0" w:after="0"/>
        <w:ind w:hanging="0" w:left="0" w:right="0"/>
        <w:jc w:val="both"/>
        <w:rPr>
          <w:rFonts w:ascii="Arial" w:hAnsi="Arial"/>
        </w:rPr>
      </w:pPr>
      <w:r>
        <w:rPr>
          <w:rFonts w:cs="Arial" w:ascii="Arial" w:hAnsi="Arial"/>
          <w:sz w:val="22"/>
          <w:szCs w:val="22"/>
        </w:rPr>
        <w:t>§3º Para a adoção do critério de maior desconto poderá ser utilizada licitação com lances negativos de forma que a CONTRATADA possa oferecer pagamento à Administração para a execução do contrato.</w:t>
      </w:r>
    </w:p>
    <w:p>
      <w:pPr>
        <w:pStyle w:val="Normal"/>
        <w:ind w:hanging="0" w:left="-2"/>
        <w:jc w:val="both"/>
        <w:rPr>
          <w:rFonts w:ascii="Arial" w:hAnsi="Arial"/>
        </w:rPr>
      </w:pPr>
      <w:r>
        <w:rPr>
          <w:rFonts w:ascii="Arial" w:hAnsi="Arial"/>
          <w:sz w:val="22"/>
          <w:szCs w:val="22"/>
        </w:rPr>
        <w:t xml:space="preserve">Na presente contratação adotara o critério </w:t>
      </w:r>
      <w:r>
        <w:rPr>
          <w:rFonts w:ascii="Arial" w:hAnsi="Arial"/>
          <w:color w:themeColor="text1" w:val="000000"/>
          <w:sz w:val="22"/>
          <w:szCs w:val="22"/>
          <w:u w:val="single"/>
        </w:rPr>
        <w:t>menor preço por item</w:t>
      </w:r>
      <w:r>
        <w:rPr>
          <w:rFonts w:ascii="Arial" w:hAnsi="Arial"/>
          <w:sz w:val="22"/>
          <w:szCs w:val="22"/>
        </w:rPr>
        <w:t>.</w:t>
      </w:r>
    </w:p>
    <w:p>
      <w:pPr>
        <w:pStyle w:val="Normal"/>
        <w:ind w:hanging="0" w:left="-2"/>
        <w:jc w:val="both"/>
        <w:rPr>
          <w:rFonts w:ascii="Arial" w:hAnsi="Arial"/>
        </w:rPr>
      </w:pPr>
      <w:r>
        <w:rPr>
          <w:rFonts w:ascii="Arial" w:hAnsi="Arial"/>
          <w:sz w:val="22"/>
          <w:szCs w:val="22"/>
        </w:rPr>
        <w:t>Quanto aos procedimentos auxiliares estes são aqueles, que como o nome já diz, utilizados para auxiliar e facilitar a contratação pública, no caso em comento apenas daremos ênfase aos passiveis de serem utilizados na presente contratação a saber: Credenciamento e Sistema de Registro de Preço.</w:t>
      </w:r>
    </w:p>
    <w:p>
      <w:pPr>
        <w:pStyle w:val="Normal"/>
        <w:ind w:hanging="0" w:left="-2"/>
        <w:jc w:val="both"/>
        <w:rPr>
          <w:rFonts w:ascii="Arial" w:hAnsi="Arial"/>
        </w:rPr>
      </w:pPr>
      <w:r>
        <w:rPr>
          <w:rFonts w:ascii="Arial" w:hAnsi="Arial"/>
          <w:sz w:val="22"/>
          <w:szCs w:val="22"/>
        </w:rPr>
        <w:t xml:space="preserve">O </w:t>
      </w:r>
      <w:r>
        <w:rPr>
          <w:rFonts w:ascii="Arial" w:hAnsi="Arial"/>
          <w:sz w:val="22"/>
          <w:szCs w:val="22"/>
          <w:u w:val="single"/>
        </w:rPr>
        <w:t>Credenciamento</w:t>
      </w:r>
      <w:r>
        <w:rPr>
          <w:rFonts w:ascii="Arial" w:hAnsi="Arial"/>
          <w:sz w:val="22"/>
          <w:szCs w:val="22"/>
        </w:rPr>
        <w:t xml:space="preserve"> haverá de ser utilizado quando a contratação é paralela e não excludente, ou seja, é viável e vantajosa para a Administração a realização de contratações simultâneas em condições padronizadas; quando a seleção do contratado está a cargo de terceiros/beneficiário direto da prestação; e, finalmente, quando a flutuação constante do valor da prestação e das condições de contratação inviabiliza a seleção de agente por meio de processo de licitação, conforme dispõe o Art.234 do Decreto nº 3.537/2023 de 09 de maio de 2023.</w:t>
      </w:r>
    </w:p>
    <w:p>
      <w:pPr>
        <w:pStyle w:val="Normal"/>
        <w:ind w:hanging="0" w:left="-2"/>
        <w:jc w:val="both"/>
        <w:rPr>
          <w:rFonts w:ascii="Arial" w:hAnsi="Arial"/>
        </w:rPr>
      </w:pPr>
      <w:r>
        <w:rPr>
          <w:rFonts w:ascii="Arial" w:hAnsi="Arial"/>
          <w:sz w:val="22"/>
          <w:szCs w:val="22"/>
        </w:rPr>
        <w:t xml:space="preserve">Por sua vez o </w:t>
      </w:r>
      <w:r>
        <w:rPr>
          <w:rFonts w:ascii="Arial" w:hAnsi="Arial"/>
          <w:sz w:val="22"/>
          <w:szCs w:val="22"/>
          <w:u w:val="single"/>
        </w:rPr>
        <w:t>Sistema de Registro de Preços</w:t>
      </w:r>
      <w:r>
        <w:rPr>
          <w:rFonts w:ascii="Arial" w:hAnsi="Arial"/>
          <w:sz w:val="22"/>
          <w:szCs w:val="22"/>
        </w:rPr>
        <w:t xml:space="preserve">, pode ser utilizado, principalmente, quando a Administração não dispuser dos quantitativos exatos que serão contratados ou adquiridos ao longo da vigência do registro. </w:t>
      </w:r>
      <w:r>
        <w:rPr>
          <w:rFonts w:ascii="Arial" w:hAnsi="Arial"/>
          <w:sz w:val="22"/>
          <w:szCs w:val="22"/>
        </w:rPr>
        <w:t>C</w:t>
      </w:r>
      <w:r>
        <w:rPr>
          <w:rFonts w:ascii="Arial" w:hAnsi="Arial"/>
          <w:sz w:val="22"/>
          <w:szCs w:val="22"/>
        </w:rPr>
        <w:t xml:space="preserve">onstata-se que o Sistema de Registro de Preços tem sido utilizado com maior frequência por entes públicos nas contratações similares a presente, neste contexto será adotado referido sistema para a aquisição. </w:t>
      </w:r>
      <w:r>
        <w:rPr>
          <w:rFonts w:ascii="Arial" w:hAnsi="Arial"/>
          <w:bCs/>
          <w:sz w:val="22"/>
          <w:szCs w:val="22"/>
        </w:rPr>
        <w:t>A adoção de critérios auxiliares devera será analisada quando de momento oportuno da elaboração de termo de referência.</w:t>
      </w:r>
    </w:p>
    <w:p>
      <w:pPr>
        <w:pStyle w:val="Normal"/>
        <w:ind w:hanging="0" w:left="-2"/>
        <w:jc w:val="both"/>
        <w:rPr>
          <w:rFonts w:ascii="Arial" w:hAnsi="Arial"/>
        </w:rPr>
      </w:pPr>
      <w:r>
        <w:rPr>
          <w:rFonts w:ascii="Arial" w:hAnsi="Arial"/>
          <w:bCs/>
          <w:sz w:val="22"/>
          <w:szCs w:val="22"/>
        </w:rPr>
        <w:t>Por se tratar de Registro de Preços, não se obriga a contratante a cumprir os quantitativos previstos neste Estudo Técnico Preliminar, sendo certo que, para efeito de pagamento, somente serão considerados os itens efetivamente entregues pela fornecedora e aceitos pela fiscalização.</w:t>
      </w:r>
    </w:p>
    <w:p>
      <w:pPr>
        <w:pStyle w:val="Normal"/>
        <w:ind w:hanging="2" w:right="-2"/>
        <w:jc w:val="both"/>
        <w:rPr>
          <w:rFonts w:ascii="Arial" w:hAnsi="Arial" w:cs="Arial"/>
          <w:sz w:val="22"/>
          <w:szCs w:val="22"/>
        </w:rPr>
      </w:pPr>
      <w:r>
        <w:rPr/>
      </w:r>
    </w:p>
    <w:p>
      <w:pPr>
        <w:pStyle w:val="Normal"/>
        <w:ind w:hanging="2" w:right="-2"/>
        <w:jc w:val="both"/>
        <w:rPr>
          <w:rFonts w:ascii="Arial" w:hAnsi="Arial" w:cs="Arial"/>
          <w:sz w:val="22"/>
          <w:szCs w:val="22"/>
        </w:rPr>
      </w:pPr>
      <w:r>
        <w:rPr>
          <w:rFonts w:cs="Arial" w:ascii="Arial" w:hAnsi="Arial"/>
          <w:b/>
          <w:sz w:val="22"/>
          <w:szCs w:val="22"/>
        </w:rPr>
        <w:t xml:space="preserve">3.1. LEGISLAÇÃO APLICÁVEL CONTRATAÇÃO: </w:t>
      </w:r>
    </w:p>
    <w:tbl>
      <w:tblPr>
        <w:tblW w:w="5000" w:type="pct"/>
        <w:jc w:val="left"/>
        <w:tblInd w:w="0" w:type="dxa"/>
        <w:tblLayout w:type="fixed"/>
        <w:tblCellMar>
          <w:top w:w="0" w:type="dxa"/>
          <w:left w:w="70" w:type="dxa"/>
          <w:bottom w:w="0" w:type="dxa"/>
          <w:right w:w="70" w:type="dxa"/>
        </w:tblCellMar>
        <w:tblLook w:firstRow="1" w:noVBand="1" w:lastRow="0" w:firstColumn="1" w:lastColumn="0" w:noHBand="0" w:val="04a0"/>
      </w:tblPr>
      <w:tblGrid>
        <w:gridCol w:w="269"/>
        <w:gridCol w:w="9084"/>
      </w:tblGrid>
      <w:tr>
        <w:trPr>
          <w:trHeight w:val="217" w:hRule="atLeast"/>
        </w:trPr>
        <w:tc>
          <w:tcPr>
            <w:tcW w:w="269"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ind w:hanging="2" w:right="-2"/>
              <w:jc w:val="center"/>
              <w:rPr>
                <w:rFonts w:ascii="Arial" w:hAnsi="Arial" w:cs="Arial"/>
                <w:b/>
                <w:bCs/>
                <w:color w:val="000000"/>
                <w:sz w:val="22"/>
                <w:szCs w:val="22"/>
              </w:rPr>
            </w:pPr>
            <w:r>
              <w:rPr>
                <w:rFonts w:cs="Arial" w:ascii="Arial" w:hAnsi="Arial"/>
                <w:b/>
                <w:bCs/>
                <w:color w:val="000000"/>
                <w:sz w:val="22"/>
                <w:szCs w:val="22"/>
              </w:rPr>
            </w:r>
          </w:p>
        </w:tc>
        <w:tc>
          <w:tcPr>
            <w:tcW w:w="9084" w:type="dxa"/>
            <w:vMerge w:val="restart"/>
            <w:tcBorders>
              <w:left w:val="single" w:sz="12" w:space="0" w:color="000000"/>
            </w:tcBorders>
            <w:shd w:color="auto" w:fill="auto" w:val="clear"/>
            <w:vAlign w:val="bottom"/>
          </w:tcPr>
          <w:p>
            <w:pPr>
              <w:pStyle w:val="Normal"/>
              <w:ind w:hanging="2" w:right="-2"/>
              <w:jc w:val="both"/>
              <w:rPr>
                <w:rFonts w:ascii="Arial" w:hAnsi="Arial"/>
              </w:rPr>
            </w:pPr>
            <w:r>
              <w:rPr>
                <w:rFonts w:cs="Arial" w:ascii="Arial" w:hAnsi="Arial"/>
                <w:color w:val="000000"/>
                <w:sz w:val="22"/>
                <w:szCs w:val="22"/>
              </w:rPr>
              <w:t>A Solicitação de Demanda não indicou e esta equipe não localizou nos estudos, nenhum normativo específico referente ao objeto estudado.</w:t>
            </w:r>
          </w:p>
        </w:tc>
      </w:tr>
      <w:tr>
        <w:trPr>
          <w:trHeight w:val="157" w:hRule="atLeast"/>
        </w:trPr>
        <w:tc>
          <w:tcPr>
            <w:tcW w:w="269" w:type="dxa"/>
            <w:tcBorders>
              <w:top w:val="single" w:sz="12" w:space="0" w:color="000000"/>
            </w:tcBorders>
            <w:shd w:color="auto" w:fill="auto" w:val="clear"/>
          </w:tcPr>
          <w:p>
            <w:pPr>
              <w:pStyle w:val="Normal"/>
              <w:ind w:hanging="2" w:right="-2"/>
              <w:jc w:val="both"/>
              <w:rPr>
                <w:rFonts w:ascii="Arial" w:hAnsi="Arial" w:cs="Arial"/>
                <w:sz w:val="22"/>
                <w:szCs w:val="22"/>
              </w:rPr>
            </w:pPr>
            <w:r>
              <w:rPr>
                <w:rFonts w:cs="Arial" w:ascii="Arial" w:hAnsi="Arial"/>
                <w:sz w:val="22"/>
                <w:szCs w:val="22"/>
              </w:rPr>
            </w:r>
          </w:p>
        </w:tc>
        <w:tc>
          <w:tcPr>
            <w:tcW w:w="9084" w:type="dxa"/>
            <w:vMerge w:val="continue"/>
            <w:tcBorders/>
            <w:shd w:color="auto" w:fill="auto" w:val="clear"/>
            <w:vAlign w:val="bottom"/>
          </w:tcPr>
          <w:p>
            <w:pPr>
              <w:pStyle w:val="Normal"/>
              <w:ind w:hanging="2" w:right="-2"/>
              <w:jc w:val="both"/>
              <w:rPr>
                <w:rFonts w:ascii="Arial" w:hAnsi="Arial" w:cs="Arial"/>
                <w:color w:val="000000"/>
                <w:sz w:val="22"/>
                <w:szCs w:val="22"/>
              </w:rPr>
            </w:pPr>
            <w:r>
              <w:rPr>
                <w:rFonts w:cs="Arial" w:ascii="Arial" w:hAnsi="Arial"/>
                <w:color w:val="000000"/>
                <w:sz w:val="22"/>
                <w:szCs w:val="22"/>
              </w:rPr>
            </w:r>
          </w:p>
        </w:tc>
      </w:tr>
      <w:tr>
        <w:trPr>
          <w:trHeight w:val="157" w:hRule="atLeast"/>
        </w:trPr>
        <w:tc>
          <w:tcPr>
            <w:tcW w:w="269" w:type="dxa"/>
            <w:tcBorders>
              <w:bottom w:val="single" w:sz="12" w:space="0" w:color="000000"/>
            </w:tcBorders>
            <w:shd w:color="auto" w:fill="auto" w:val="clear"/>
          </w:tcPr>
          <w:p>
            <w:pPr>
              <w:pStyle w:val="Normal"/>
              <w:ind w:hanging="2" w:right="-2"/>
              <w:jc w:val="both"/>
              <w:rPr>
                <w:rFonts w:ascii="Arial" w:hAnsi="Arial" w:cs="Arial"/>
                <w:sz w:val="22"/>
                <w:szCs w:val="22"/>
              </w:rPr>
            </w:pPr>
            <w:r>
              <w:rPr>
                <w:rFonts w:cs="Arial" w:ascii="Arial" w:hAnsi="Arial"/>
                <w:sz w:val="22"/>
                <w:szCs w:val="22"/>
              </w:rPr>
            </w:r>
          </w:p>
        </w:tc>
        <w:tc>
          <w:tcPr>
            <w:tcW w:w="9084" w:type="dxa"/>
            <w:tcBorders/>
            <w:shd w:color="auto" w:fill="auto" w:val="clear"/>
            <w:vAlign w:val="bottom"/>
          </w:tcPr>
          <w:p>
            <w:pPr>
              <w:pStyle w:val="Normal"/>
              <w:ind w:hanging="2" w:right="-2"/>
              <w:jc w:val="both"/>
              <w:rPr>
                <w:rFonts w:ascii="Arial" w:hAnsi="Arial" w:cs="Arial"/>
                <w:color w:val="000000"/>
                <w:sz w:val="22"/>
                <w:szCs w:val="22"/>
              </w:rPr>
            </w:pPr>
            <w:r>
              <w:rPr>
                <w:rFonts w:cs="Arial" w:ascii="Arial" w:hAnsi="Arial"/>
                <w:color w:val="000000"/>
                <w:sz w:val="22"/>
                <w:szCs w:val="22"/>
              </w:rPr>
            </w:r>
          </w:p>
        </w:tc>
      </w:tr>
      <w:tr>
        <w:trPr>
          <w:trHeight w:val="229" w:hRule="atLeast"/>
        </w:trPr>
        <w:tc>
          <w:tcPr>
            <w:tcW w:w="269" w:type="dxa"/>
            <w:tcBorders>
              <w:top w:val="single" w:sz="12" w:space="0" w:color="000000"/>
              <w:left w:val="single" w:sz="12" w:space="0" w:color="000000"/>
              <w:bottom w:val="single" w:sz="12" w:space="0" w:color="000000"/>
              <w:right w:val="single" w:sz="12" w:space="0" w:color="000000"/>
            </w:tcBorders>
            <w:shd w:color="auto" w:fill="auto" w:val="clear"/>
          </w:tcPr>
          <w:p>
            <w:pPr>
              <w:pStyle w:val="Normal"/>
              <w:ind w:hanging="2" w:right="-2"/>
              <w:jc w:val="center"/>
              <w:rPr>
                <w:rFonts w:ascii="Arial" w:hAnsi="Arial"/>
              </w:rPr>
            </w:pPr>
            <w:r>
              <w:rPr>
                <w:rFonts w:cs="Arial" w:ascii="Arial" w:hAnsi="Arial"/>
                <w:b/>
                <w:bCs/>
                <w:color w:val="FF0000"/>
                <w:sz w:val="22"/>
                <w:szCs w:val="22"/>
              </w:rPr>
              <w:t>X</w:t>
            </w:r>
          </w:p>
        </w:tc>
        <w:tc>
          <w:tcPr>
            <w:tcW w:w="9084" w:type="dxa"/>
            <w:vMerge w:val="restart"/>
            <w:tcBorders>
              <w:left w:val="single" w:sz="12" w:space="0" w:color="000000"/>
            </w:tcBorders>
            <w:shd w:color="auto" w:fill="auto" w:val="clear"/>
            <w:vAlign w:val="bottom"/>
          </w:tcPr>
          <w:p>
            <w:pPr>
              <w:pStyle w:val="Normal"/>
              <w:ind w:right="-2"/>
              <w:jc w:val="both"/>
              <w:rPr>
                <w:rFonts w:ascii="Arial" w:hAnsi="Arial"/>
              </w:rPr>
            </w:pPr>
            <w:r>
              <w:rPr>
                <w:rFonts w:cs="Arial" w:ascii="Arial" w:hAnsi="Arial"/>
                <w:color w:val="000000"/>
                <w:sz w:val="22"/>
                <w:szCs w:val="22"/>
              </w:rPr>
              <w:t>Foram localizados normativos acerca do objeto estudado, e estes estão sendo considerados no presente estudo:</w:t>
            </w:r>
          </w:p>
        </w:tc>
      </w:tr>
      <w:tr>
        <w:trPr>
          <w:trHeight w:val="202" w:hRule="atLeast"/>
        </w:trPr>
        <w:tc>
          <w:tcPr>
            <w:tcW w:w="269" w:type="dxa"/>
            <w:tcBorders>
              <w:top w:val="single" w:sz="12" w:space="0" w:color="000000"/>
            </w:tcBorders>
            <w:shd w:color="auto" w:fill="auto" w:val="clear"/>
          </w:tcPr>
          <w:p>
            <w:pPr>
              <w:pStyle w:val="Normal"/>
              <w:ind w:hanging="2" w:right="-2"/>
              <w:jc w:val="center"/>
              <w:rPr>
                <w:rFonts w:ascii="Arial" w:hAnsi="Arial" w:cs="Arial"/>
                <w:b/>
                <w:bCs/>
                <w:color w:val="FF0000"/>
                <w:sz w:val="22"/>
                <w:szCs w:val="22"/>
              </w:rPr>
            </w:pPr>
            <w:r>
              <w:rPr>
                <w:rFonts w:cs="Arial" w:ascii="Arial" w:hAnsi="Arial"/>
                <w:b/>
                <w:bCs/>
                <w:color w:val="FF0000"/>
                <w:sz w:val="22"/>
                <w:szCs w:val="22"/>
              </w:rPr>
            </w:r>
          </w:p>
        </w:tc>
        <w:tc>
          <w:tcPr>
            <w:tcW w:w="9084" w:type="dxa"/>
            <w:vMerge w:val="continue"/>
            <w:tcBorders/>
            <w:shd w:color="auto" w:fill="auto" w:val="clear"/>
            <w:vAlign w:val="bottom"/>
          </w:tcPr>
          <w:p>
            <w:pPr>
              <w:pStyle w:val="Normal"/>
              <w:ind w:right="-2"/>
              <w:jc w:val="both"/>
              <w:rPr>
                <w:rFonts w:ascii="Arial" w:hAnsi="Arial" w:cs="Arial"/>
                <w:color w:val="000000"/>
                <w:sz w:val="22"/>
                <w:szCs w:val="22"/>
              </w:rPr>
            </w:pPr>
            <w:r>
              <w:rPr>
                <w:rFonts w:cs="Arial" w:ascii="Arial" w:hAnsi="Arial"/>
                <w:color w:val="000000"/>
                <w:sz w:val="22"/>
                <w:szCs w:val="22"/>
              </w:rPr>
            </w:r>
          </w:p>
        </w:tc>
      </w:tr>
    </w:tbl>
    <w:p>
      <w:pPr>
        <w:pStyle w:val="Normal"/>
        <w:ind w:hanging="2" w:right="-2"/>
        <w:jc w:val="both"/>
        <w:rPr>
          <w:rFonts w:ascii="Arial" w:hAnsi="Arial"/>
        </w:rPr>
      </w:pPr>
      <w:r>
        <w:rPr/>
      </w:r>
    </w:p>
    <w:p>
      <w:pPr>
        <w:pStyle w:val="Normal"/>
        <w:ind w:hanging="2" w:right="-2"/>
        <w:jc w:val="both"/>
        <w:rPr>
          <w:rFonts w:ascii="Arial" w:hAnsi="Arial"/>
        </w:rPr>
      </w:pPr>
      <w:r>
        <w:rPr>
          <w:rFonts w:cs="Arial" w:ascii="Arial" w:hAnsi="Arial"/>
          <w:b/>
          <w:bCs/>
          <w:sz w:val="22"/>
          <w:szCs w:val="22"/>
        </w:rPr>
        <w:t>3.4.1.</w:t>
      </w:r>
      <w:r>
        <w:rPr>
          <w:rFonts w:cs="Arial" w:ascii="Arial" w:hAnsi="Arial"/>
          <w:sz w:val="22"/>
          <w:szCs w:val="22"/>
        </w:rPr>
        <w:t xml:space="preserve"> Lei 14.133/21, de 01 de abril de 2021 e suas alterações.</w:t>
      </w:r>
    </w:p>
    <w:p>
      <w:pPr>
        <w:pStyle w:val="Normal"/>
        <w:ind w:hanging="2" w:right="-2"/>
        <w:jc w:val="both"/>
        <w:rPr>
          <w:rFonts w:ascii="Arial" w:hAnsi="Arial"/>
        </w:rPr>
      </w:pPr>
      <w:r>
        <w:rPr>
          <w:rFonts w:cs="Arial" w:ascii="Arial" w:hAnsi="Arial"/>
          <w:b/>
          <w:bCs/>
          <w:sz w:val="22"/>
          <w:szCs w:val="22"/>
        </w:rPr>
        <w:t>3.4.2.</w:t>
      </w:r>
      <w:r>
        <w:rPr>
          <w:rFonts w:cs="Arial" w:ascii="Arial" w:hAnsi="Arial"/>
          <w:sz w:val="22"/>
          <w:szCs w:val="22"/>
        </w:rPr>
        <w:t xml:space="preserve"> Decreto Municipal nº 3.537/2023.</w:t>
      </w:r>
    </w:p>
    <w:p>
      <w:pPr>
        <w:pStyle w:val="Normal"/>
        <w:ind w:hanging="2" w:right="-2"/>
        <w:jc w:val="both"/>
        <w:rPr>
          <w:rFonts w:ascii="Arial" w:hAnsi="Arial"/>
        </w:rPr>
      </w:pPr>
      <w:r>
        <w:rPr>
          <w:rFonts w:cs="Arial" w:ascii="Arial" w:hAnsi="Arial"/>
          <w:b/>
          <w:bCs/>
          <w:sz w:val="22"/>
          <w:szCs w:val="22"/>
        </w:rPr>
        <w:t>3.4.3.</w:t>
      </w:r>
      <w:r>
        <w:rPr>
          <w:rFonts w:cs="Arial" w:ascii="Arial" w:hAnsi="Arial"/>
          <w:sz w:val="22"/>
          <w:szCs w:val="22"/>
        </w:rPr>
        <w:t xml:space="preserve"> Lei nº 8.078, de 1990 - Código de Defesa do Consumidor.</w:t>
      </w:r>
    </w:p>
    <w:p>
      <w:pPr>
        <w:pStyle w:val="Normal"/>
        <w:ind w:hanging="2" w:right="-2"/>
        <w:jc w:val="both"/>
        <w:rPr>
          <w:rFonts w:ascii="Arial" w:hAnsi="Arial"/>
        </w:rPr>
      </w:pPr>
      <w:r>
        <w:rPr>
          <w:rFonts w:cs="Arial" w:ascii="Arial" w:hAnsi="Arial"/>
          <w:b/>
          <w:bCs/>
          <w:sz w:val="22"/>
          <w:szCs w:val="22"/>
        </w:rPr>
        <w:t>3.4.4.</w:t>
      </w:r>
      <w:r>
        <w:rPr>
          <w:rFonts w:cs="Arial" w:ascii="Arial" w:hAnsi="Arial"/>
          <w:sz w:val="22"/>
          <w:szCs w:val="22"/>
        </w:rPr>
        <w:t xml:space="preserve"> Lei Complementar nº 123/2006, com alterações da Lei Complementar nº 147/2014.</w:t>
      </w:r>
    </w:p>
    <w:p>
      <w:pPr>
        <w:pStyle w:val="Normal"/>
        <w:ind w:hanging="2" w:right="-2"/>
        <w:jc w:val="both"/>
        <w:rPr>
          <w:rFonts w:ascii="Arial" w:hAnsi="Arial"/>
        </w:rPr>
      </w:pPr>
      <w:r>
        <w:rPr>
          <w:rFonts w:cs="Arial" w:ascii="Arial" w:hAnsi="Arial"/>
          <w:b/>
          <w:bCs/>
          <w:sz w:val="22"/>
          <w:szCs w:val="22"/>
        </w:rPr>
        <w:t>3.4.5.</w:t>
      </w:r>
      <w:r>
        <w:rPr>
          <w:rFonts w:cs="Arial" w:ascii="Arial" w:hAnsi="Arial"/>
          <w:sz w:val="22"/>
          <w:szCs w:val="22"/>
        </w:rPr>
        <w:t xml:space="preserve"> Lei n° 12.305, de 2010 – Política Nacional de Resíduos Sólidos</w:t>
      </w:r>
    </w:p>
    <w:p>
      <w:pPr>
        <w:pStyle w:val="Normal"/>
        <w:ind w:hanging="2" w:right="-2"/>
        <w:jc w:val="both"/>
        <w:rPr>
          <w:rFonts w:ascii="Arial" w:hAnsi="Arial"/>
        </w:rPr>
      </w:pPr>
      <w:r>
        <w:rPr>
          <w:rFonts w:cs="Arial" w:ascii="Arial" w:hAnsi="Arial"/>
          <w:b/>
          <w:bCs/>
          <w:sz w:val="22"/>
          <w:szCs w:val="22"/>
        </w:rPr>
        <w:t>3.4.6.</w:t>
      </w:r>
      <w:r>
        <w:rPr>
          <w:rFonts w:cs="Arial" w:ascii="Arial" w:hAnsi="Arial"/>
          <w:sz w:val="22"/>
          <w:szCs w:val="22"/>
        </w:rPr>
        <w:t xml:space="preserve"> Decreto nº 10.936, de 12 de janeiro de 2022, que regulamenta a Lei nº 12.305, de 2 de agosto de 2010.</w:t>
      </w:r>
    </w:p>
    <w:p>
      <w:pPr>
        <w:pStyle w:val="Normal"/>
        <w:ind w:hanging="2" w:right="-2"/>
        <w:jc w:val="both"/>
        <w:rPr>
          <w:rFonts w:ascii="Arial" w:hAnsi="Arial"/>
        </w:rPr>
      </w:pPr>
      <w:r>
        <w:rPr>
          <w:rFonts w:cs="Arial" w:ascii="Arial" w:hAnsi="Arial"/>
          <w:b/>
          <w:bCs/>
          <w:sz w:val="22"/>
          <w:szCs w:val="22"/>
        </w:rPr>
        <w:t>3.4.7.</w:t>
      </w:r>
      <w:r>
        <w:rPr>
          <w:rFonts w:cs="Arial" w:ascii="Arial" w:hAnsi="Arial"/>
          <w:sz w:val="22"/>
          <w:szCs w:val="22"/>
        </w:rPr>
        <w:t xml:space="preserve"> PPA - Lei n.º 4.057/2021 de 10 de novembro de 2021;</w:t>
      </w:r>
    </w:p>
    <w:p>
      <w:pPr>
        <w:pStyle w:val="Normal"/>
        <w:ind w:hanging="2" w:right="-2"/>
        <w:jc w:val="both"/>
        <w:rPr>
          <w:rFonts w:ascii="Arial" w:hAnsi="Arial"/>
        </w:rPr>
      </w:pPr>
      <w:r>
        <w:rPr>
          <w:rFonts w:cs="Arial" w:ascii="Arial" w:hAnsi="Arial"/>
          <w:b/>
          <w:bCs/>
          <w:sz w:val="22"/>
          <w:szCs w:val="22"/>
        </w:rPr>
        <w:t>3.4.8.</w:t>
      </w:r>
      <w:r>
        <w:rPr>
          <w:rFonts w:cs="Arial" w:ascii="Arial" w:hAnsi="Arial"/>
          <w:sz w:val="22"/>
          <w:szCs w:val="22"/>
        </w:rPr>
        <w:t xml:space="preserve"> LDO - Lei n.º 4.462/2024, de 14 de agosto de 2024;</w:t>
      </w:r>
    </w:p>
    <w:p>
      <w:pPr>
        <w:pStyle w:val="Normal"/>
        <w:ind w:hanging="2" w:right="-2"/>
        <w:jc w:val="both"/>
        <w:rPr>
          <w:rFonts w:ascii="Arial" w:hAnsi="Arial"/>
        </w:rPr>
      </w:pPr>
      <w:r>
        <w:rPr>
          <w:rFonts w:cs="Arial" w:ascii="Arial" w:hAnsi="Arial"/>
          <w:b/>
          <w:bCs/>
          <w:sz w:val="22"/>
          <w:szCs w:val="22"/>
        </w:rPr>
        <w:t>3.4.9.</w:t>
      </w:r>
      <w:r>
        <w:rPr>
          <w:rFonts w:cs="Arial" w:ascii="Arial" w:hAnsi="Arial"/>
          <w:sz w:val="22"/>
          <w:szCs w:val="22"/>
        </w:rPr>
        <w:t xml:space="preserve"> LOA – Lei nº 4.477/2024, de 03 de dezembro de 2024</w:t>
      </w:r>
    </w:p>
    <w:p>
      <w:pPr>
        <w:pStyle w:val="Normal"/>
        <w:ind w:hanging="2" w:right="-2"/>
        <w:jc w:val="both"/>
        <w:rPr>
          <w:rFonts w:ascii="Arial" w:hAnsi="Arial" w:cs="Arial"/>
          <w:b/>
          <w:bCs/>
          <w:sz w:val="22"/>
          <w:szCs w:val="22"/>
        </w:rPr>
      </w:pPr>
      <w:r>
        <w:rPr>
          <w:rFonts w:cs="Arial" w:ascii="Arial" w:hAnsi="Arial"/>
          <w:b/>
          <w:bCs/>
          <w:sz w:val="22"/>
          <w:szCs w:val="22"/>
        </w:rPr>
      </w:r>
    </w:p>
    <w:p>
      <w:pPr>
        <w:pStyle w:val="Normal"/>
        <w:shd w:val="clear" w:color="auto" w:fill="1F497D" w:themeFill="text2"/>
        <w:ind w:firstLine="140" w:right="-2"/>
        <w:jc w:val="both"/>
        <w:rPr>
          <w:rFonts w:ascii="Arial" w:hAnsi="Arial"/>
        </w:rPr>
      </w:pPr>
      <w:r>
        <w:rPr>
          <w:rFonts w:cs="Arial" w:ascii="Arial" w:hAnsi="Arial"/>
          <w:b/>
          <w:bCs/>
          <w:color w:themeColor="background1" w:themeShade="f2" w:val="F2F2F2"/>
          <w:sz w:val="22"/>
          <w:szCs w:val="22"/>
        </w:rPr>
        <w:t>IV - Detalhamento da Solução Escolhida</w:t>
      </w:r>
    </w:p>
    <w:p>
      <w:pPr>
        <w:pStyle w:val="Normal"/>
        <w:ind w:hanging="2" w:right="-2"/>
        <w:jc w:val="both"/>
        <w:rPr>
          <w:rFonts w:ascii="Arial" w:hAnsi="Arial" w:cs="Arial"/>
          <w:b/>
          <w:bCs/>
          <w:sz w:val="22"/>
          <w:szCs w:val="22"/>
        </w:rPr>
      </w:pPr>
      <w:r>
        <w:rPr>
          <w:rFonts w:cs="Arial" w:ascii="Arial" w:hAnsi="Arial"/>
          <w:b/>
          <w:bCs/>
          <w:sz w:val="22"/>
          <w:szCs w:val="22"/>
        </w:rPr>
      </w:r>
    </w:p>
    <w:p>
      <w:pPr>
        <w:pStyle w:val="ListParagraph"/>
        <w:numPr>
          <w:ilvl w:val="0"/>
          <w:numId w:val="3"/>
        </w:numPr>
        <w:pBdr>
          <w:top w:val="single" w:sz="12" w:space="1" w:color="000000"/>
          <w:left w:val="single" w:sz="12" w:space="0" w:color="000000"/>
          <w:bottom w:val="single" w:sz="12" w:space="1" w:color="000000"/>
          <w:right w:val="single" w:sz="12" w:space="4" w:color="000000"/>
        </w:pBdr>
        <w:shd w:val="clear" w:color="auto" w:fill="C6D9F1" w:themeFill="text2" w:themeFillTint="33"/>
        <w:tabs>
          <w:tab w:val="clear" w:pos="720"/>
          <w:tab w:val="left" w:pos="284" w:leader="none"/>
        </w:tabs>
        <w:ind w:hanging="2" w:left="0" w:right="-2"/>
        <w:jc w:val="both"/>
        <w:rPr>
          <w:rFonts w:ascii="Arial" w:hAnsi="Arial"/>
        </w:rPr>
      </w:pPr>
      <w:r>
        <w:rPr>
          <w:rFonts w:cs="Arial" w:ascii="Arial" w:hAnsi="Arial"/>
          <w:b/>
          <w:bCs/>
          <w:sz w:val="22"/>
          <w:szCs w:val="22"/>
        </w:rPr>
        <w:t>Descrição da solução como um todo (art. 15, §1º, V e VI do, Decreto nº3.537/2023):</w:t>
      </w:r>
    </w:p>
    <w:p>
      <w:pPr>
        <w:pStyle w:val="CabealhoeRodap"/>
        <w:ind w:right="-2"/>
        <w:jc w:val="both"/>
        <w:rPr>
          <w:rFonts w:ascii="Arial" w:hAnsi="Arial" w:cs="Arial"/>
          <w:b/>
          <w:bCs/>
          <w:sz w:val="22"/>
          <w:szCs w:val="22"/>
        </w:rPr>
      </w:pPr>
      <w:r>
        <w:rPr>
          <w:rFonts w:cs="Arial" w:ascii="Arial" w:hAnsi="Arial"/>
          <w:b/>
          <w:bCs/>
          <w:sz w:val="22"/>
          <w:szCs w:val="22"/>
        </w:rPr>
      </w:r>
      <w:bookmarkStart w:id="3" w:name="_Hlk189722521"/>
      <w:bookmarkStart w:id="4" w:name="_Hlk189722521"/>
      <w:bookmarkEnd w:id="4"/>
    </w:p>
    <w:p>
      <w:pPr>
        <w:pStyle w:val="Normal"/>
        <w:ind w:hanging="0" w:left="-2"/>
        <w:jc w:val="both"/>
        <w:rPr>
          <w:rFonts w:ascii="Arial" w:hAnsi="Arial"/>
        </w:rPr>
      </w:pPr>
      <w:r>
        <w:rPr>
          <w:rFonts w:ascii="Arial" w:hAnsi="Arial"/>
          <w:sz w:val="22"/>
          <w:szCs w:val="22"/>
        </w:rPr>
        <w:t>Conforme explanado no bojo do presente estudo a solução que melhor atende a administração é aquisição do bem, haja vista que o município possui carência de maquinário como o presente.</w:t>
      </w:r>
    </w:p>
    <w:p>
      <w:pPr>
        <w:pStyle w:val="Normal"/>
        <w:ind w:hanging="0" w:left="-1"/>
        <w:jc w:val="both"/>
        <w:rPr>
          <w:color w:val="000000"/>
        </w:rPr>
      </w:pPr>
      <w:r>
        <w:rPr>
          <w:rFonts w:ascii="Arial" w:hAnsi="Arial"/>
          <w:color w:val="000000"/>
          <w:sz w:val="22"/>
          <w:szCs w:val="22"/>
        </w:rPr>
        <w:t>1.1. DA EXECUÇÃO E ABRANGÊNCIA DOS SERVIÇOS</w:t>
      </w:r>
    </w:p>
    <w:p>
      <w:pPr>
        <w:pStyle w:val="Normal"/>
        <w:ind w:hanging="0" w:left="-1"/>
        <w:jc w:val="both"/>
        <w:rPr>
          <w:rFonts w:ascii="Arial" w:hAnsi="Arial"/>
        </w:rPr>
      </w:pPr>
      <w:r>
        <w:rPr>
          <w:rFonts w:ascii="Arial" w:hAnsi="Arial"/>
          <w:sz w:val="22"/>
          <w:szCs w:val="22"/>
        </w:rPr>
        <w:t>1.1.1. O prazo de entrega do equipamento é de até 90 (noventa) dias, contados a partir do recebimento da autorização de fornecimento/empenho.</w:t>
      </w:r>
    </w:p>
    <w:p>
      <w:pPr>
        <w:pStyle w:val="Normal"/>
        <w:ind w:hanging="0" w:left="-1"/>
        <w:jc w:val="both"/>
        <w:rPr>
          <w:rFonts w:ascii="Arial" w:hAnsi="Arial"/>
        </w:rPr>
      </w:pPr>
      <w:r>
        <w:rPr>
          <w:rFonts w:ascii="Arial" w:hAnsi="Arial"/>
          <w:sz w:val="22"/>
          <w:szCs w:val="22"/>
        </w:rPr>
        <w:t>1.1.2. A entrega do objeto deverá ser efetuada em data previamente agendada no almoxarifado municipal, de segunda a sexta-feira das 07h30 às 11h00 e das 13h00 às 17h00, acompanhados por servidor designado pela administração municipal.</w:t>
      </w:r>
    </w:p>
    <w:p>
      <w:pPr>
        <w:pStyle w:val="Normal"/>
        <w:ind w:hanging="0" w:left="-1"/>
        <w:jc w:val="both"/>
        <w:rPr>
          <w:rFonts w:ascii="Arial" w:hAnsi="Arial"/>
        </w:rPr>
      </w:pPr>
      <w:r>
        <w:rPr>
          <w:rFonts w:ascii="Arial" w:hAnsi="Arial"/>
          <w:sz w:val="22"/>
          <w:szCs w:val="22"/>
        </w:rPr>
        <w:t xml:space="preserve">1.1.3.A CONTRATADA é inteiramente responsável pela qualidade do objeto. </w:t>
      </w:r>
    </w:p>
    <w:p>
      <w:pPr>
        <w:pStyle w:val="ListParagraph"/>
        <w:tabs>
          <w:tab w:val="clear" w:pos="720"/>
          <w:tab w:val="left" w:pos="120" w:leader="none"/>
        </w:tabs>
        <w:ind w:hanging="0" w:left="0"/>
        <w:jc w:val="both"/>
        <w:rPr>
          <w:rFonts w:ascii="Arial" w:hAnsi="Arial"/>
        </w:rPr>
      </w:pPr>
      <w:r>
        <w:rPr>
          <w:rFonts w:eastAsia="Merriweather" w:ascii="Arial" w:hAnsi="Arial"/>
          <w:color w:val="000000"/>
          <w:sz w:val="22"/>
          <w:szCs w:val="22"/>
        </w:rPr>
        <w:t>1.1.4. Obrigações da contratada:</w:t>
      </w:r>
      <w:r>
        <w:rPr>
          <w:rFonts w:eastAsia="Merriweather" w:ascii="Arial" w:hAnsi="Arial"/>
          <w:b/>
          <w:bCs/>
          <w:color w:val="000000"/>
          <w:sz w:val="22"/>
          <w:szCs w:val="22"/>
        </w:rPr>
        <w:t xml:space="preserve"> </w:t>
      </w:r>
      <w:r>
        <w:rPr>
          <w:rFonts w:eastAsia="Merriweather" w:ascii="Arial" w:hAnsi="Arial"/>
          <w:color w:val="000000"/>
          <w:sz w:val="22"/>
          <w:szCs w:val="22"/>
        </w:rPr>
        <w:t xml:space="preserve">Entregar os produtos de acordo com os padrões de qualidade e normas vigentes, e cumprir as especificações e condições estabelecidas no Edital. Não transferir a terceiro, por qualquer forma o contrato. Substituir, sem ônus para a Contratante, qualquer produto caso não atendam o padrão de qualidade exigido ou apresentem defeito de fabricação. Responsabilizar pelos custos de entrega dos produtos. O licitante vencedor se responsabilizará pela qualidade, quantidade e segurança dos produtos ofertados, não podendo apresentar deficiências técnicas, conforme as exigências deste Termo e da licitação, reservando à Prefeitura do direito de recusá-lo caso não satisfaça aos padrões especificados. </w:t>
      </w:r>
    </w:p>
    <w:p>
      <w:pPr>
        <w:pStyle w:val="Normal"/>
        <w:ind w:hanging="0" w:left="-1"/>
        <w:jc w:val="both"/>
        <w:rPr>
          <w:rFonts w:ascii="Arial" w:hAnsi="Arial"/>
          <w:sz w:val="22"/>
          <w:szCs w:val="22"/>
        </w:rPr>
      </w:pPr>
      <w:r>
        <w:rPr>
          <w:rFonts w:ascii="Arial" w:hAnsi="Arial"/>
          <w:sz w:val="22"/>
          <w:szCs w:val="22"/>
        </w:rPr>
        <w:t>1.1.5. Todas as despesas de embalagem, seguros, transporte, tributos, frete, carregamento, descarregamento, encargos trabalhistas e previdenciários e outros custos decorrentes direta e indiretamente do fornecimento do objeto, correrão por conta exclusiva da CONTRATADA. O</w:t>
      </w:r>
      <w:r>
        <w:rPr>
          <w:rFonts w:eastAsia="Merriweather" w:ascii="Arial" w:hAnsi="Arial"/>
          <w:color w:val="000000"/>
          <w:sz w:val="22"/>
          <w:szCs w:val="22"/>
        </w:rPr>
        <w:t xml:space="preserve"> licitante vencedor deverá providenciar a entrega dos bens permanentes em embalagem apropriada para que estes não sejam danificados quando do transporte e descarga local</w:t>
      </w:r>
      <w:r>
        <w:rPr>
          <w:rFonts w:ascii="Arial" w:hAnsi="Arial"/>
          <w:sz w:val="22"/>
          <w:szCs w:val="22"/>
        </w:rPr>
        <w:t xml:space="preserve">. </w:t>
      </w:r>
    </w:p>
    <w:p>
      <w:pPr>
        <w:pStyle w:val="Normal"/>
        <w:ind w:hanging="0" w:left="-1"/>
        <w:jc w:val="both"/>
        <w:rPr>
          <w:rFonts w:ascii="Arial" w:hAnsi="Arial"/>
          <w:sz w:val="22"/>
          <w:szCs w:val="22"/>
        </w:rPr>
      </w:pPr>
      <w:r>
        <w:rPr>
          <w:rFonts w:ascii="Arial" w:hAnsi="Arial"/>
          <w:sz w:val="22"/>
          <w:szCs w:val="22"/>
        </w:rPr>
        <w:t>1.1.6. O objeto deverá portar manual de instruções, manutenção e do proprietário, todos em língua portuguesa.</w:t>
      </w:r>
    </w:p>
    <w:p>
      <w:pPr>
        <w:pStyle w:val="Normal"/>
        <w:ind w:hanging="0" w:left="-1"/>
        <w:jc w:val="both"/>
        <w:rPr>
          <w:rFonts w:ascii="Arial" w:hAnsi="Arial"/>
          <w:sz w:val="22"/>
          <w:szCs w:val="22"/>
        </w:rPr>
      </w:pPr>
      <w:r>
        <w:rPr>
          <w:rFonts w:ascii="Arial" w:hAnsi="Arial"/>
          <w:sz w:val="22"/>
          <w:szCs w:val="22"/>
        </w:rPr>
        <w:t xml:space="preserve">1.1.7. </w:t>
      </w:r>
      <w:r>
        <w:rPr>
          <w:rFonts w:eastAsia="Merriweather" w:ascii="Arial" w:hAnsi="Arial"/>
          <w:color w:val="000000"/>
          <w:sz w:val="22"/>
          <w:szCs w:val="22"/>
        </w:rPr>
        <w:t xml:space="preserve">A licitante vencedora deverá apresentar, como forma de comprovação da garantia, Certificado de Garantia do Fabricante, ou documento similar, na entrega do produto. </w:t>
      </w:r>
    </w:p>
    <w:p>
      <w:pPr>
        <w:pStyle w:val="Normal"/>
        <w:ind w:hanging="0" w:left="-1"/>
        <w:jc w:val="both"/>
        <w:rPr>
          <w:rFonts w:ascii="Arial" w:hAnsi="Arial"/>
          <w:sz w:val="22"/>
          <w:szCs w:val="22"/>
        </w:rPr>
      </w:pPr>
      <w:r>
        <w:rPr>
          <w:rFonts w:ascii="Arial" w:hAnsi="Arial"/>
          <w:sz w:val="22"/>
          <w:szCs w:val="22"/>
        </w:rPr>
        <w:t>1.1.8. Quanto à assistência técnica a CONTRATADA deverá atender aos chamados da contratante no prazo máximo de 48 (quarenta e oito) horas da solicitação.</w:t>
      </w:r>
    </w:p>
    <w:p>
      <w:pPr>
        <w:pStyle w:val="Normal"/>
        <w:ind w:hanging="0" w:left="-1"/>
        <w:jc w:val="both"/>
        <w:rPr>
          <w:rFonts w:ascii="Arial" w:hAnsi="Arial"/>
          <w:sz w:val="22"/>
          <w:szCs w:val="22"/>
        </w:rPr>
      </w:pPr>
      <w:r>
        <w:rPr>
          <w:rFonts w:ascii="Arial" w:hAnsi="Arial"/>
          <w:sz w:val="22"/>
          <w:szCs w:val="22"/>
        </w:rPr>
        <w:t>1.1.9. Durante o período de garantia, a CONTRATANTE não efetuará nenhum tipo de pagamento à CONTRATADA a título de deslocamento de pessoal, hospedagem, produtos, mão de obra.</w:t>
      </w:r>
    </w:p>
    <w:p>
      <w:pPr>
        <w:pStyle w:val="Normal"/>
        <w:ind w:hanging="0" w:left="-1"/>
        <w:jc w:val="both"/>
        <w:rPr>
          <w:rFonts w:ascii="Arial" w:hAnsi="Arial"/>
          <w:sz w:val="22"/>
          <w:szCs w:val="22"/>
        </w:rPr>
      </w:pPr>
      <w:r>
        <w:rPr>
          <w:rFonts w:ascii="Arial" w:hAnsi="Arial"/>
          <w:color w:val="000000"/>
          <w:sz w:val="22"/>
          <w:szCs w:val="22"/>
        </w:rPr>
        <w:t>1.1.10. Na hipótese de necessidade de substituição, a CONTRATADA deverá fazê-la em conformidade com a indicação da Administração, no prazo máximo de 10(dez) dias úteis, contados da notificação por escrito, mantidos o preço inicialmente contratado. Sendo que o ato do recebimento não importará na aceitação.</w:t>
      </w:r>
    </w:p>
    <w:p>
      <w:pPr>
        <w:pStyle w:val="Normal"/>
        <w:ind w:hanging="0" w:left="-1"/>
        <w:jc w:val="both"/>
        <w:rPr>
          <w:rFonts w:ascii="Arial" w:hAnsi="Arial"/>
          <w:sz w:val="22"/>
          <w:szCs w:val="22"/>
        </w:rPr>
      </w:pPr>
      <w:r>
        <w:rPr>
          <w:rFonts w:ascii="Arial" w:hAnsi="Arial"/>
          <w:sz w:val="22"/>
          <w:szCs w:val="22"/>
        </w:rPr>
        <w:t>1.1.11. A CONTRATADA deverá designar por escrito, no ato do recebimento da Autorização de Serviços, preposto (s) que tenham poderes para resolução de possíveis ocorrências durante a execução;</w:t>
      </w:r>
    </w:p>
    <w:p>
      <w:pPr>
        <w:pStyle w:val="Normal"/>
        <w:ind w:hanging="0" w:left="-1"/>
        <w:jc w:val="both"/>
        <w:rPr>
          <w:rFonts w:ascii="Arial" w:hAnsi="Arial"/>
          <w:sz w:val="22"/>
          <w:szCs w:val="22"/>
        </w:rPr>
      </w:pPr>
      <w:r>
        <w:rPr>
          <w:rFonts w:ascii="Arial" w:hAnsi="Arial"/>
          <w:sz w:val="22"/>
          <w:szCs w:val="22"/>
        </w:rPr>
        <w:t>1.1.12. A CONTRATADA deverá responsabilizar-se pelos danos causados diretamente à Administração ou a terceiros, na forma do Art.120 da Lei 14.133/21, de 01 de abril de 2021 e suas alterações posteriores e ainda pelos encargos: trabalhistas, previdenciários, fiscais e comerciais resultantes da prestação de serviços.</w:t>
      </w:r>
    </w:p>
    <w:p>
      <w:pPr>
        <w:pStyle w:val="Normal"/>
        <w:ind w:hanging="0" w:left="-1"/>
        <w:jc w:val="both"/>
        <w:rPr>
          <w:rFonts w:ascii="Arial" w:hAnsi="Arial"/>
          <w:sz w:val="22"/>
          <w:szCs w:val="22"/>
        </w:rPr>
      </w:pPr>
      <w:r>
        <w:rPr>
          <w:rFonts w:ascii="Arial" w:hAnsi="Arial"/>
          <w:sz w:val="22"/>
          <w:szCs w:val="22"/>
        </w:rPr>
        <w:t>1.1.13. A CONTRATADA deverá prestar todos os esclarecimentos que lhe forem solicitados pela CONTRATANTE, atendendo prontamente a quaisquer reclamações.</w:t>
      </w:r>
    </w:p>
    <w:p>
      <w:pPr>
        <w:pStyle w:val="Normal"/>
        <w:ind w:hanging="0" w:left="-1"/>
        <w:jc w:val="both"/>
        <w:rPr>
          <w:rFonts w:ascii="Arial" w:hAnsi="Arial"/>
          <w:sz w:val="22"/>
          <w:szCs w:val="22"/>
        </w:rPr>
      </w:pPr>
      <w:r>
        <w:rPr>
          <w:rFonts w:ascii="Arial" w:hAnsi="Arial"/>
          <w:sz w:val="22"/>
          <w:szCs w:val="22"/>
        </w:rPr>
        <w:t xml:space="preserve">1.1.14. A CONTRATADA deverá responsabilizar-se pelos vícios e danos decorrentes do objeto, de acordo com os artigos 12, 13 e 17 a 27, do Código de Defesa do Consumidor (Lei nº 8.078, de 1990), </w:t>
      </w:r>
      <w:r>
        <w:rPr>
          <w:rFonts w:ascii="Arial" w:hAnsi="Arial"/>
          <w:bCs/>
          <w:sz w:val="22"/>
          <w:szCs w:val="22"/>
        </w:rPr>
        <w:t>ficando a Contratante autorizada a descontar dos pagamentos devidos à Contratada, o valor correspondente aos danos sofridos;</w:t>
      </w:r>
    </w:p>
    <w:p>
      <w:pPr>
        <w:pStyle w:val="Normal"/>
        <w:ind w:hanging="0" w:left="-1"/>
        <w:jc w:val="both"/>
        <w:rPr>
          <w:rFonts w:ascii="Arial" w:hAnsi="Arial"/>
          <w:sz w:val="22"/>
          <w:szCs w:val="22"/>
        </w:rPr>
      </w:pPr>
      <w:r>
        <w:rPr>
          <w:rFonts w:ascii="Arial" w:hAnsi="Arial"/>
          <w:sz w:val="22"/>
          <w:szCs w:val="22"/>
        </w:rPr>
        <w:t>1.1.15. A CONTRATADA deverá i</w:t>
      </w:r>
      <w:r>
        <w:rPr>
          <w:rFonts w:ascii="Arial" w:hAnsi="Arial"/>
          <w:bCs/>
          <w:sz w:val="22"/>
          <w:szCs w:val="22"/>
        </w:rPr>
        <w:t>nstruir seus empregados quanto à necessidade de acatar as Normas Internas da Administração;</w:t>
      </w:r>
    </w:p>
    <w:p>
      <w:pPr>
        <w:pStyle w:val="Normal"/>
        <w:ind w:hanging="0" w:left="0"/>
        <w:jc w:val="both"/>
        <w:rPr>
          <w:rFonts w:ascii="Arial" w:hAnsi="Arial"/>
          <w:sz w:val="22"/>
          <w:szCs w:val="22"/>
        </w:rPr>
      </w:pPr>
      <w:r>
        <w:rPr>
          <w:rFonts w:ascii="Arial" w:hAnsi="Arial"/>
          <w:bCs/>
          <w:sz w:val="22"/>
          <w:szCs w:val="22"/>
        </w:rPr>
        <w:t>1.1.16. A CONTRATADA deverá instruir seus empregados a respeito das atividades a serem desempenhadas, alertando-os a não executar atividades não abrangidas pelo contrato;</w:t>
      </w:r>
    </w:p>
    <w:p>
      <w:pPr>
        <w:pStyle w:val="Normal"/>
        <w:ind w:hanging="0" w:left="0"/>
        <w:jc w:val="both"/>
        <w:rPr>
          <w:rFonts w:ascii="Arial" w:hAnsi="Arial"/>
          <w:sz w:val="22"/>
          <w:szCs w:val="22"/>
        </w:rPr>
      </w:pPr>
      <w:r>
        <w:rPr>
          <w:rFonts w:ascii="Arial" w:hAnsi="Arial"/>
          <w:bCs/>
          <w:sz w:val="22"/>
          <w:szCs w:val="22"/>
        </w:rPr>
        <w:t>1.1.17. A CONTRATADA deverá utilizar empregados habilitados e com conhecimentos básicos para a perfeita execução;</w:t>
      </w:r>
    </w:p>
    <w:p>
      <w:pPr>
        <w:pStyle w:val="Normal"/>
        <w:ind w:hanging="0" w:left="0"/>
        <w:jc w:val="both"/>
        <w:rPr>
          <w:rFonts w:ascii="Arial" w:hAnsi="Arial"/>
          <w:sz w:val="22"/>
          <w:szCs w:val="22"/>
        </w:rPr>
      </w:pPr>
      <w:r>
        <w:rPr>
          <w:rFonts w:ascii="Arial" w:hAnsi="Arial"/>
          <w:bCs/>
          <w:sz w:val="22"/>
          <w:szCs w:val="22"/>
        </w:rPr>
        <w:t>1.1.18. A CONTRATADA deverá disponibilizar à Contratante os empregados devidamente uniformizados e provê-los com os Equipamentos de Proteção Individual - EPI, quando for o caso;</w:t>
      </w:r>
    </w:p>
    <w:p>
      <w:pPr>
        <w:pStyle w:val="Normal"/>
        <w:ind w:hanging="0" w:left="0"/>
        <w:jc w:val="both"/>
        <w:rPr>
          <w:rFonts w:ascii="Arial" w:hAnsi="Arial"/>
          <w:sz w:val="22"/>
          <w:szCs w:val="22"/>
        </w:rPr>
      </w:pPr>
      <w:r>
        <w:rPr>
          <w:rFonts w:ascii="Arial" w:hAnsi="Arial"/>
          <w:bCs/>
          <w:sz w:val="22"/>
          <w:szCs w:val="22"/>
        </w:rPr>
        <w:t>1.1.19. A CONTRATADA deverá guardar sigilo sobre todas as informações obtidas em decorrência do cumprimento do contrato;</w:t>
      </w:r>
    </w:p>
    <w:p>
      <w:pPr>
        <w:pStyle w:val="Normal"/>
        <w:ind w:hanging="0" w:left="0"/>
        <w:jc w:val="both"/>
        <w:rPr>
          <w:rFonts w:ascii="Arial" w:hAnsi="Arial"/>
          <w:sz w:val="22"/>
          <w:szCs w:val="22"/>
        </w:rPr>
      </w:pPr>
      <w:r>
        <w:rPr>
          <w:rFonts w:ascii="Arial" w:hAnsi="Arial"/>
          <w:bCs/>
          <w:sz w:val="22"/>
          <w:szCs w:val="22"/>
        </w:rPr>
        <w:t>1.1.20. A CONTRATADA deverá responder pelas despesas resultantes de quaisquer ações, demandas, decorrentes de dano seja por culpa sua ou qualquer de seus empregados e prepostos, obrigando-se por quais quer responsabilidade decorrente de ações judiciais de terceiros, que lhe venham a ser exigidas por força de lei, ligadas ao cumprimento do presente Contrato;</w:t>
      </w:r>
    </w:p>
    <w:p>
      <w:pPr>
        <w:pStyle w:val="Normal"/>
        <w:ind w:hanging="0" w:left="0"/>
        <w:jc w:val="both"/>
        <w:rPr>
          <w:rFonts w:ascii="Arial" w:hAnsi="Arial"/>
          <w:sz w:val="22"/>
          <w:szCs w:val="22"/>
        </w:rPr>
      </w:pPr>
      <w:r>
        <w:rPr>
          <w:rFonts w:ascii="Arial" w:hAnsi="Arial"/>
          <w:bCs/>
          <w:sz w:val="22"/>
          <w:szCs w:val="22"/>
        </w:rPr>
        <w:t>1.1.21. A CONTRATADA  deverá arcar com todas as despesas diretas e indiretas, decorrentes do cumprimento das obrigações assumidas, sem qualquer ônus a contratante;</w:t>
      </w:r>
    </w:p>
    <w:p>
      <w:pPr>
        <w:pStyle w:val="Normal"/>
        <w:ind w:hanging="0" w:left="0"/>
        <w:jc w:val="both"/>
        <w:rPr>
          <w:rFonts w:ascii="Arial" w:hAnsi="Arial"/>
          <w:sz w:val="22"/>
          <w:szCs w:val="22"/>
        </w:rPr>
      </w:pPr>
      <w:r>
        <w:rPr>
          <w:rFonts w:ascii="Arial" w:hAnsi="Arial"/>
          <w:bCs/>
          <w:sz w:val="22"/>
          <w:szCs w:val="22"/>
        </w:rPr>
        <w:t>1.1.22. A CONTRATADA deverá conduzir os trabalhos com estrita observância às normas da legislação pertinente, cumprindo as determinações dos Poderes Públicos;</w:t>
      </w:r>
    </w:p>
    <w:p>
      <w:pPr>
        <w:pStyle w:val="Normal"/>
        <w:ind w:hanging="0" w:left="0"/>
        <w:jc w:val="both"/>
        <w:rPr>
          <w:rFonts w:ascii="Arial" w:hAnsi="Arial"/>
          <w:sz w:val="22"/>
          <w:szCs w:val="22"/>
        </w:rPr>
      </w:pPr>
      <w:r>
        <w:rPr>
          <w:rFonts w:ascii="Arial" w:hAnsi="Arial"/>
          <w:bCs/>
          <w:sz w:val="22"/>
          <w:szCs w:val="22"/>
        </w:rPr>
        <w:t>1.1.23. A CONTRATADA deverá submeter previamente, por escrito, à Contratante, para análise e aprovação, qualquer mudança no método de execução do serviço que fuja das especificações constantes de Termo de Referência a ser elaborado.</w:t>
      </w:r>
    </w:p>
    <w:p>
      <w:pPr>
        <w:pStyle w:val="Normal"/>
        <w:ind w:hanging="0" w:left="0"/>
        <w:jc w:val="both"/>
        <w:rPr>
          <w:sz w:val="22"/>
          <w:szCs w:val="22"/>
        </w:rPr>
      </w:pPr>
      <w:r>
        <w:rPr>
          <w:rFonts w:ascii="Arial" w:hAnsi="Arial"/>
          <w:bCs/>
          <w:sz w:val="22"/>
          <w:szCs w:val="22"/>
        </w:rPr>
        <w:t>1.1.24. A CONTRATADA deverá cumprir, além dos postulados legais vigentes de âmbito federal, estadual ou municipal, as normas de segurança da Contratante;</w:t>
      </w:r>
    </w:p>
    <w:p>
      <w:pPr>
        <w:pStyle w:val="Normal"/>
        <w:ind w:hanging="0" w:left="0"/>
        <w:jc w:val="both"/>
        <w:rPr>
          <w:sz w:val="22"/>
          <w:szCs w:val="22"/>
        </w:rPr>
      </w:pPr>
      <w:r>
        <w:rPr>
          <w:rFonts w:ascii="Arial" w:hAnsi="Arial"/>
          <w:bCs/>
          <w:sz w:val="22"/>
          <w:szCs w:val="22"/>
        </w:rPr>
        <w:t>1.1.25. A CONTRATADA deverá proceder a entrega somente mediante a apresentação da Ordem de Execução, na qual constarão, dentre outras informações, o endereço, horário, responsável pelo recebimento / fiscal do contrato, bem como dimensionamento adequado para atender a demanda, devidamente autorizado e, assinada pelo Fiscal do Contrato;</w:t>
      </w:r>
    </w:p>
    <w:p>
      <w:pPr>
        <w:pStyle w:val="Normal"/>
        <w:ind w:hanging="0" w:left="0"/>
        <w:jc w:val="both"/>
        <w:rPr>
          <w:sz w:val="22"/>
          <w:szCs w:val="22"/>
        </w:rPr>
      </w:pPr>
      <w:r>
        <w:rPr>
          <w:rFonts w:ascii="Arial" w:hAnsi="Arial"/>
          <w:bCs/>
          <w:sz w:val="22"/>
          <w:szCs w:val="22"/>
        </w:rPr>
        <w:t>1.1.26. Todos os custos para realização da entrega dos bens serão de responsabilidade da CONTRATADA e deverão constar na proposta de preços.</w:t>
      </w:r>
    </w:p>
    <w:p>
      <w:pPr>
        <w:pStyle w:val="Normal"/>
        <w:ind w:hanging="0" w:left="0"/>
        <w:jc w:val="both"/>
        <w:rPr>
          <w:sz w:val="22"/>
          <w:szCs w:val="22"/>
        </w:rPr>
      </w:pPr>
      <w:r>
        <w:rPr>
          <w:rFonts w:cs="Arial" w:ascii="Arial" w:hAnsi="Arial"/>
          <w:b w:val="false"/>
          <w:bCs w:val="false"/>
          <w:sz w:val="22"/>
          <w:szCs w:val="22"/>
        </w:rPr>
        <w:t>1.1.27. Executar a entrega dentro dos parâmetros e rotinas estabelecidos, fornecendo todos os materiais, equipamentos e utensílios em quantidade, qualidade e tecnologia adequadas, com a observância às recomendações aceitas pela boa técnica, normas e legislação.</w:t>
      </w:r>
    </w:p>
    <w:p>
      <w:pPr>
        <w:pStyle w:val="CabealhoeRodap"/>
        <w:shd w:val="clear" w:color="auto" w:fill="E5DFEC" w:themeFill="accent4" w:themeFillTint="33"/>
        <w:ind w:right="-144"/>
        <w:jc w:val="both"/>
        <w:rPr>
          <w:rFonts w:ascii="Arial" w:hAnsi="Arial"/>
          <w:sz w:val="22"/>
          <w:szCs w:val="22"/>
          <w:highlight w:val="none"/>
          <w:shd w:fill="FFFF00" w:val="clear"/>
        </w:rPr>
      </w:pPr>
      <w:r>
        <w:rPr>
          <w:rFonts w:ascii="Arial" w:hAnsi="Arial"/>
          <w:sz w:val="22"/>
          <w:szCs w:val="22"/>
          <w:shd w:fill="FFFF00" w:val="clear"/>
        </w:rPr>
      </w:r>
    </w:p>
    <w:p>
      <w:pPr>
        <w:pStyle w:val="CabealhoeRodap"/>
        <w:shd w:val="clear" w:color="auto" w:fill="E5DFEC" w:themeFill="accent4" w:themeFillTint="33"/>
        <w:ind w:right="-144"/>
        <w:jc w:val="both"/>
        <w:rPr>
          <w:sz w:val="22"/>
          <w:szCs w:val="22"/>
        </w:rPr>
      </w:pPr>
      <w:r>
        <w:rPr>
          <w:rFonts w:cs="Arial" w:ascii="Arial" w:hAnsi="Arial"/>
          <w:b/>
          <w:bCs/>
          <w:sz w:val="22"/>
          <w:szCs w:val="22"/>
          <w:shd w:fill="auto" w:val="clear"/>
        </w:rPr>
        <w:t>DAS DISPOSIÇÕES GERAIS:</w:t>
      </w:r>
    </w:p>
    <w:p>
      <w:pPr>
        <w:pStyle w:val="CabealhoeRodap"/>
        <w:ind w:right="-144"/>
        <w:jc w:val="both"/>
        <w:rPr>
          <w:rFonts w:ascii="Arial" w:hAnsi="Arial"/>
          <w:sz w:val="22"/>
          <w:szCs w:val="22"/>
        </w:rPr>
      </w:pPr>
      <w:r>
        <w:rPr>
          <w:rFonts w:ascii="Arial" w:hAnsi="Arial"/>
          <w:sz w:val="22"/>
          <w:szCs w:val="22"/>
        </w:rPr>
      </w:r>
    </w:p>
    <w:p>
      <w:pPr>
        <w:pStyle w:val="CabealhoeRodap"/>
        <w:ind w:right="-144"/>
        <w:jc w:val="both"/>
        <w:rPr>
          <w:sz w:val="22"/>
          <w:szCs w:val="22"/>
        </w:rPr>
      </w:pPr>
      <w:r>
        <w:rPr>
          <w:rFonts w:cs="Arial" w:ascii="Arial" w:hAnsi="Arial"/>
          <w:bCs/>
          <w:sz w:val="22"/>
          <w:szCs w:val="22"/>
        </w:rPr>
        <w:t>Para mitigar esses impactos ambientais, é importante adotar práticas sustentáveis, como a manutenção regular do trator para otimizar o consumo de combustível, o uso de combustíveis mais limpos e eficientes, a implementação de medidas de controle de emissões e o descarte responsável no final da vida útil do equipamento.</w:t>
      </w:r>
    </w:p>
    <w:p>
      <w:pPr>
        <w:pStyle w:val="CabealhoeRodap"/>
        <w:ind w:right="-144"/>
        <w:jc w:val="both"/>
        <w:rPr>
          <w:rFonts w:ascii="Arial" w:hAnsi="Arial" w:cs="Arial"/>
          <w:sz w:val="22"/>
          <w:szCs w:val="22"/>
        </w:rPr>
      </w:pPr>
      <w:r>
        <w:rPr>
          <w:rFonts w:cs="Arial" w:ascii="Arial" w:hAnsi="Arial"/>
          <w:sz w:val="22"/>
          <w:szCs w:val="22"/>
        </w:rPr>
      </w:r>
    </w:p>
    <w:p>
      <w:pPr>
        <w:pStyle w:val="CabealhoeRodap"/>
        <w:shd w:val="clear" w:color="auto" w:fill="E5DFEC" w:themeFill="accent4" w:themeFillTint="33"/>
        <w:ind w:right="-144"/>
        <w:jc w:val="both"/>
        <w:rPr>
          <w:sz w:val="22"/>
          <w:szCs w:val="22"/>
        </w:rPr>
      </w:pPr>
      <w:r>
        <w:rPr>
          <w:rFonts w:cs="Arial" w:ascii="Arial" w:hAnsi="Arial"/>
          <w:b/>
          <w:bCs/>
          <w:sz w:val="22"/>
          <w:szCs w:val="22"/>
        </w:rPr>
        <w:t>MODELO DE GESTÃO</w:t>
      </w:r>
    </w:p>
    <w:p>
      <w:pPr>
        <w:pStyle w:val="CabealhoeRodap"/>
        <w:ind w:right="-144"/>
        <w:jc w:val="both"/>
        <w:rPr>
          <w:rFonts w:ascii="Arial" w:hAnsi="Arial" w:cs="Arial"/>
          <w:color w:val="000000"/>
        </w:rPr>
      </w:pPr>
      <w:r>
        <w:rPr>
          <w:sz w:val="22"/>
          <w:szCs w:val="22"/>
        </w:rPr>
      </w:r>
    </w:p>
    <w:p>
      <w:pPr>
        <w:pStyle w:val="CabealhoeRodap"/>
        <w:ind w:right="-144"/>
        <w:jc w:val="both"/>
        <w:rPr>
          <w:sz w:val="22"/>
          <w:szCs w:val="22"/>
        </w:rPr>
      </w:pPr>
      <w:r>
        <w:rPr>
          <w:rFonts w:cs="Arial" w:ascii="Arial" w:hAnsi="Arial"/>
          <w:color w:val="000000"/>
          <w:sz w:val="22"/>
          <w:szCs w:val="22"/>
        </w:rPr>
        <w:t>O modelo de gestão deverá ser fixado em Termo de Referência, restando nesta oportunidade indicado o fiscal e gestor do contrato como sendo os constantes da Portaria nº 2074/2025</w:t>
      </w:r>
      <w:r>
        <w:rPr>
          <w:rFonts w:cs="Arial" w:ascii="Arial" w:hAnsi="Arial"/>
          <w:color w:themeColor="text1" w:val="000000"/>
          <w:sz w:val="22"/>
          <w:szCs w:val="22"/>
        </w:rPr>
        <w:t>:</w:t>
      </w:r>
    </w:p>
    <w:p>
      <w:pPr>
        <w:pStyle w:val="CabealhoeRodap"/>
        <w:ind w:right="-144"/>
        <w:jc w:val="both"/>
        <w:rPr>
          <w:rFonts w:ascii="Arial" w:hAnsi="Arial" w:cs="Arial"/>
          <w:color w:themeColor="text1" w:val="000000"/>
          <w:sz w:val="22"/>
          <w:szCs w:val="22"/>
        </w:rPr>
      </w:pPr>
      <w:r>
        <w:rPr>
          <w:rFonts w:cs="Arial" w:ascii="Arial" w:hAnsi="Arial"/>
          <w:color w:themeColor="text1" w:val="000000"/>
          <w:sz w:val="22"/>
          <w:szCs w:val="22"/>
        </w:rPr>
      </w:r>
    </w:p>
    <w:p>
      <w:pPr>
        <w:pStyle w:val="Normal"/>
        <w:ind w:hanging="2" w:right="-144"/>
        <w:jc w:val="both"/>
        <w:rPr>
          <w:sz w:val="22"/>
          <w:szCs w:val="22"/>
        </w:rPr>
      </w:pPr>
      <w:r>
        <w:rPr>
          <w:rFonts w:cs="Arial" w:ascii="Arial" w:hAnsi="Arial"/>
          <w:color w:themeColor="text1" w:val="000000"/>
          <w:sz w:val="22"/>
          <w:szCs w:val="22"/>
        </w:rPr>
        <w:t xml:space="preserve">A fiscalização do contrato deverá ser realizada pela </w:t>
      </w:r>
      <w:r>
        <w:rPr>
          <w:rFonts w:cs="Arial" w:ascii="Arial" w:hAnsi="Arial"/>
          <w:sz w:val="22"/>
          <w:szCs w:val="22"/>
        </w:rPr>
        <w:t>Sr(a):</w:t>
      </w:r>
    </w:p>
    <w:tbl>
      <w:tblPr>
        <w:tblStyle w:val="Tabelacomgrade"/>
        <w:tblW w:w="924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72"/>
        <w:gridCol w:w="1633"/>
        <w:gridCol w:w="4535"/>
      </w:tblGrid>
      <w:tr>
        <w:trPr>
          <w:trHeight w:val="203" w:hRule="atLeast"/>
        </w:trPr>
        <w:tc>
          <w:tcPr>
            <w:tcW w:w="3072" w:type="dxa"/>
            <w:tcBorders>
              <w:top w:val="nil"/>
              <w:left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b/>
                <w:bCs/>
                <w:kern w:val="2"/>
                <w:sz w:val="22"/>
                <w:szCs w:val="22"/>
                <w:lang w:val="pt-BR" w:eastAsia="zh-CN" w:bidi="hi-IN"/>
              </w:rPr>
              <w:t>SECRETARIA MUNICIPAL</w:t>
            </w:r>
          </w:p>
        </w:tc>
        <w:tc>
          <w:tcPr>
            <w:tcW w:w="1633" w:type="dxa"/>
            <w:tcBorders>
              <w:top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144"/>
              <w:jc w:val="center"/>
              <w:textAlignment w:val="baseline"/>
              <w:rPr>
                <w:sz w:val="22"/>
                <w:szCs w:val="22"/>
              </w:rPr>
            </w:pPr>
            <w:r>
              <w:rPr>
                <w:rFonts w:eastAsia="SimSun" w:cs="Arial" w:ascii="Arial" w:hAnsi="Arial"/>
                <w:b/>
                <w:bCs/>
                <w:kern w:val="2"/>
                <w:sz w:val="22"/>
                <w:szCs w:val="22"/>
                <w:lang w:val="pt-BR" w:eastAsia="zh-CN" w:bidi="hi-IN"/>
              </w:rPr>
              <w:t>PORTARIA</w:t>
            </w:r>
          </w:p>
        </w:tc>
        <w:tc>
          <w:tcPr>
            <w:tcW w:w="4535" w:type="dxa"/>
            <w:tcBorders>
              <w:top w:val="nil"/>
              <w:bottom w:val="single" w:sz="12" w:space="0" w:color="000000"/>
              <w:right w:val="nil"/>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b/>
                <w:bCs/>
                <w:kern w:val="2"/>
                <w:sz w:val="22"/>
                <w:szCs w:val="22"/>
                <w:lang w:val="pt-BR" w:eastAsia="zh-CN" w:bidi="hi-IN"/>
              </w:rPr>
              <w:t>NOME DO SERVIDOR</w:t>
            </w:r>
          </w:p>
        </w:tc>
      </w:tr>
      <w:tr>
        <w:trPr>
          <w:trHeight w:val="203" w:hRule="atLeast"/>
        </w:trPr>
        <w:tc>
          <w:tcPr>
            <w:tcW w:w="3072" w:type="dxa"/>
            <w:tcBorders>
              <w:top w:val="single" w:sz="12" w:space="0" w:color="000000"/>
              <w:left w:val="single" w:sz="12" w:space="0" w:color="000000"/>
              <w:bottom w:val="single" w:sz="12" w:space="0" w:color="000000"/>
              <w:right w:val="nil"/>
            </w:tcBorders>
            <w:shd w:color="auto" w:fill="auto"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kern w:val="2"/>
                <w:sz w:val="22"/>
                <w:szCs w:val="22"/>
                <w:lang w:val="pt-BR" w:eastAsia="zh-CN" w:bidi="hi-IN"/>
              </w:rPr>
              <w:t>DE AGRICULTURA</w:t>
            </w:r>
          </w:p>
        </w:tc>
        <w:tc>
          <w:tcPr>
            <w:tcW w:w="1633" w:type="dxa"/>
            <w:tcBorders>
              <w:top w:val="single" w:sz="12" w:space="0" w:color="000000"/>
              <w:left w:val="nil"/>
              <w:bottom w:val="single" w:sz="12" w:space="0" w:color="000000"/>
              <w:right w:val="nil"/>
            </w:tcBorders>
            <w:shd w:color="auto" w:fill="FFFFFF" w:themeFill="background1"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kern w:val="2"/>
                <w:sz w:val="22"/>
                <w:szCs w:val="22"/>
                <w:lang w:eastAsia="zh-CN" w:bidi="hi-IN"/>
              </w:rPr>
              <w:t xml:space="preserve">      </w:t>
            </w:r>
            <w:r>
              <w:rPr>
                <w:rFonts w:eastAsia="SimSun" w:cs="Arial" w:ascii="Arial" w:hAnsi="Arial"/>
                <w:kern w:val="2"/>
                <w:sz w:val="22"/>
                <w:szCs w:val="22"/>
                <w:lang w:eastAsia="zh-CN" w:bidi="hi-IN"/>
              </w:rPr>
              <w:t>2074/2025</w:t>
            </w:r>
          </w:p>
        </w:tc>
        <w:tc>
          <w:tcPr>
            <w:tcW w:w="4535" w:type="dxa"/>
            <w:tcBorders>
              <w:top w:val="single" w:sz="12" w:space="0" w:color="000000"/>
              <w:left w:val="nil"/>
              <w:bottom w:val="single" w:sz="12" w:space="0" w:color="000000"/>
              <w:right w:val="single" w:sz="12" w:space="0" w:color="000000"/>
            </w:tcBorders>
            <w:shd w:color="auto" w:fill="FFFFFF" w:themeFill="background1"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color w:val="FF0000"/>
                <w:kern w:val="2"/>
                <w:sz w:val="22"/>
                <w:szCs w:val="22"/>
                <w:lang w:val="pt-BR" w:eastAsia="zh-CN" w:bidi="hi-IN"/>
              </w:rPr>
              <w:t xml:space="preserve">        </w:t>
            </w:r>
            <w:r>
              <w:rPr>
                <w:rFonts w:eastAsia="SimSun" w:cs="Arial" w:ascii="Arial" w:hAnsi="Arial"/>
                <w:color w:val="000000"/>
                <w:kern w:val="2"/>
                <w:sz w:val="22"/>
                <w:szCs w:val="22"/>
                <w:lang w:val="pt-BR" w:eastAsia="zh-CN" w:bidi="hi-IN"/>
              </w:rPr>
              <w:t>RENATO REIS DUARTE</w:t>
            </w:r>
          </w:p>
        </w:tc>
      </w:tr>
    </w:tbl>
    <w:p>
      <w:pPr>
        <w:pStyle w:val="Normal"/>
        <w:ind w:hanging="2" w:right="-144"/>
        <w:jc w:val="both"/>
        <w:rPr>
          <w:rFonts w:ascii="Arial" w:hAnsi="Arial" w:cs="Arial"/>
          <w:color w:themeColor="text1" w:val="000000"/>
          <w:sz w:val="22"/>
          <w:szCs w:val="22"/>
        </w:rPr>
      </w:pPr>
      <w:r>
        <w:rPr>
          <w:rFonts w:cs="Arial" w:ascii="Arial" w:hAnsi="Arial"/>
          <w:color w:themeColor="text1" w:val="000000"/>
          <w:sz w:val="22"/>
          <w:szCs w:val="22"/>
        </w:rPr>
      </w:r>
    </w:p>
    <w:p>
      <w:pPr>
        <w:pStyle w:val="Normal"/>
        <w:ind w:hanging="2" w:right="-144"/>
        <w:jc w:val="both"/>
        <w:rPr>
          <w:sz w:val="22"/>
          <w:szCs w:val="22"/>
        </w:rPr>
      </w:pPr>
      <w:r>
        <w:rPr>
          <w:rFonts w:cs="Arial" w:ascii="Arial" w:hAnsi="Arial"/>
          <w:color w:themeColor="text1" w:val="000000"/>
          <w:sz w:val="22"/>
          <w:szCs w:val="22"/>
        </w:rPr>
        <w:t xml:space="preserve">A gestão do contrato deverá ser realizada pela </w:t>
      </w:r>
      <w:r>
        <w:rPr>
          <w:rFonts w:cs="Arial" w:ascii="Arial" w:hAnsi="Arial"/>
          <w:sz w:val="22"/>
          <w:szCs w:val="22"/>
        </w:rPr>
        <w:t>Sr(a):</w:t>
      </w:r>
    </w:p>
    <w:p>
      <w:pPr>
        <w:pStyle w:val="Normal"/>
        <w:ind w:hanging="2" w:right="-144"/>
        <w:jc w:val="both"/>
        <w:rPr>
          <w:rFonts w:ascii="Arial" w:hAnsi="Arial" w:cs="Arial"/>
          <w:sz w:val="22"/>
          <w:szCs w:val="22"/>
        </w:rPr>
      </w:pPr>
      <w:r>
        <w:rPr>
          <w:rFonts w:cs="Arial" w:ascii="Arial" w:hAnsi="Arial"/>
          <w:sz w:val="22"/>
          <w:szCs w:val="22"/>
        </w:rPr>
      </w:r>
    </w:p>
    <w:tbl>
      <w:tblPr>
        <w:tblStyle w:val="Tabelacomgrade"/>
        <w:tblW w:w="924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3072"/>
        <w:gridCol w:w="1633"/>
        <w:gridCol w:w="4535"/>
      </w:tblGrid>
      <w:tr>
        <w:trPr>
          <w:trHeight w:val="203" w:hRule="atLeast"/>
        </w:trPr>
        <w:tc>
          <w:tcPr>
            <w:tcW w:w="3072" w:type="dxa"/>
            <w:tcBorders>
              <w:top w:val="nil"/>
              <w:left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b/>
                <w:bCs/>
                <w:kern w:val="2"/>
                <w:sz w:val="22"/>
                <w:szCs w:val="22"/>
                <w:lang w:val="pt-BR" w:eastAsia="zh-CN" w:bidi="hi-IN"/>
              </w:rPr>
              <w:t>SECRETARIA MUNICIPAL</w:t>
            </w:r>
          </w:p>
        </w:tc>
        <w:tc>
          <w:tcPr>
            <w:tcW w:w="1633" w:type="dxa"/>
            <w:tcBorders>
              <w:top w:val="nil"/>
              <w:bottom w:val="single" w:sz="12" w:space="0" w:color="000000"/>
            </w:tcBorders>
            <w:shd w:color="auto" w:fill="DBE5F1" w:themeFill="accent1" w:themeFillTint="33" w:val="clear"/>
          </w:tcPr>
          <w:p>
            <w:pPr>
              <w:pStyle w:val="Normal"/>
              <w:widowControl w:val="false"/>
              <w:tabs>
                <w:tab w:val="clear" w:pos="720"/>
                <w:tab w:val="right" w:pos="9071" w:leader="none"/>
              </w:tabs>
              <w:spacing w:before="0" w:after="0"/>
              <w:ind w:right="-144"/>
              <w:jc w:val="center"/>
              <w:textAlignment w:val="baseline"/>
              <w:rPr>
                <w:sz w:val="22"/>
                <w:szCs w:val="22"/>
              </w:rPr>
            </w:pPr>
            <w:r>
              <w:rPr>
                <w:rFonts w:eastAsia="SimSun" w:cs="Arial" w:ascii="Arial" w:hAnsi="Arial"/>
                <w:b/>
                <w:bCs/>
                <w:kern w:val="2"/>
                <w:sz w:val="22"/>
                <w:szCs w:val="22"/>
                <w:lang w:val="pt-BR" w:eastAsia="zh-CN" w:bidi="hi-IN"/>
              </w:rPr>
              <w:t>PORTARIA</w:t>
            </w:r>
          </w:p>
        </w:tc>
        <w:tc>
          <w:tcPr>
            <w:tcW w:w="4535" w:type="dxa"/>
            <w:tcBorders>
              <w:top w:val="nil"/>
              <w:bottom w:val="single" w:sz="12" w:space="0" w:color="000000"/>
              <w:right w:val="nil"/>
            </w:tcBorders>
            <w:shd w:color="auto" w:fill="DBE5F1" w:themeFill="accent1" w:themeFillTint="33"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b/>
                <w:bCs/>
                <w:kern w:val="2"/>
                <w:sz w:val="22"/>
                <w:szCs w:val="22"/>
                <w:lang w:val="pt-BR" w:eastAsia="zh-CN" w:bidi="hi-IN"/>
              </w:rPr>
              <w:t>NOME DO SERVIDOR</w:t>
            </w:r>
          </w:p>
        </w:tc>
      </w:tr>
      <w:tr>
        <w:trPr>
          <w:trHeight w:val="203" w:hRule="atLeast"/>
        </w:trPr>
        <w:tc>
          <w:tcPr>
            <w:tcW w:w="3072" w:type="dxa"/>
            <w:tcBorders>
              <w:top w:val="single" w:sz="12" w:space="0" w:color="000000"/>
              <w:left w:val="single" w:sz="12" w:space="0" w:color="000000"/>
              <w:bottom w:val="single" w:sz="12" w:space="0" w:color="000000"/>
              <w:right w:val="nil"/>
            </w:tcBorders>
            <w:shd w:color="auto" w:fill="auto"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kern w:val="2"/>
                <w:sz w:val="22"/>
                <w:szCs w:val="22"/>
                <w:lang w:val="pt-BR" w:eastAsia="zh-CN" w:bidi="hi-IN"/>
              </w:rPr>
              <w:t>DE AGRICULTURA</w:t>
            </w:r>
          </w:p>
        </w:tc>
        <w:tc>
          <w:tcPr>
            <w:tcW w:w="1633" w:type="dxa"/>
            <w:tcBorders>
              <w:top w:val="single" w:sz="12" w:space="0" w:color="000000"/>
              <w:left w:val="nil"/>
              <w:bottom w:val="single" w:sz="12" w:space="0" w:color="000000"/>
              <w:right w:val="nil"/>
            </w:tcBorders>
            <w:shd w:color="auto" w:fill="FFFFFF" w:themeFill="background1"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color w:val="000000"/>
                <w:kern w:val="2"/>
                <w:sz w:val="22"/>
                <w:szCs w:val="22"/>
                <w:lang w:eastAsia="zh-CN" w:bidi="hi-IN"/>
              </w:rPr>
              <w:t>2074/2025</w:t>
            </w:r>
          </w:p>
        </w:tc>
        <w:tc>
          <w:tcPr>
            <w:tcW w:w="4535" w:type="dxa"/>
            <w:tcBorders>
              <w:top w:val="single" w:sz="12" w:space="0" w:color="000000"/>
              <w:left w:val="nil"/>
              <w:bottom w:val="single" w:sz="12" w:space="0" w:color="000000"/>
              <w:right w:val="single" w:sz="12" w:space="0" w:color="000000"/>
            </w:tcBorders>
            <w:shd w:color="auto" w:fill="FFFFFF" w:themeFill="background1" w:val="clear"/>
          </w:tcPr>
          <w:p>
            <w:pPr>
              <w:pStyle w:val="Normal"/>
              <w:widowControl w:val="false"/>
              <w:tabs>
                <w:tab w:val="clear" w:pos="720"/>
                <w:tab w:val="right" w:pos="9071" w:leader="none"/>
              </w:tabs>
              <w:spacing w:before="0" w:after="0"/>
              <w:ind w:hanging="2" w:right="-144"/>
              <w:jc w:val="center"/>
              <w:textAlignment w:val="baseline"/>
              <w:rPr>
                <w:sz w:val="22"/>
                <w:szCs w:val="22"/>
              </w:rPr>
            </w:pPr>
            <w:r>
              <w:rPr>
                <w:rFonts w:eastAsia="SimSun" w:cs="Arial" w:ascii="Arial" w:hAnsi="Arial"/>
                <w:color w:val="000000"/>
                <w:kern w:val="2"/>
                <w:sz w:val="22"/>
                <w:szCs w:val="22"/>
                <w:lang w:val="pt-BR" w:eastAsia="zh-CN" w:bidi="hi-IN"/>
              </w:rPr>
              <w:t>CAMILA DIAS RAMALHO MATTA</w:t>
            </w:r>
          </w:p>
        </w:tc>
      </w:tr>
    </w:tbl>
    <w:p>
      <w:pPr>
        <w:pStyle w:val="Normal"/>
        <w:ind w:hanging="2" w:right="-144"/>
        <w:jc w:val="both"/>
        <w:rPr>
          <w:rFonts w:ascii="Arial" w:hAnsi="Arial" w:cs="Arial"/>
          <w:color w:themeColor="text1" w:val="000000"/>
          <w:sz w:val="22"/>
          <w:szCs w:val="22"/>
        </w:rPr>
      </w:pPr>
      <w:r>
        <w:rPr>
          <w:rFonts w:cs="Arial" w:ascii="Arial" w:hAnsi="Arial"/>
          <w:color w:themeColor="text1" w:val="000000"/>
          <w:sz w:val="22"/>
          <w:szCs w:val="22"/>
        </w:rPr>
      </w:r>
    </w:p>
    <w:p>
      <w:pPr>
        <w:pStyle w:val="CabealhoeRodap"/>
        <w:shd w:val="clear" w:color="auto" w:fill="E5DFEC" w:themeFill="accent4" w:themeFillTint="33"/>
        <w:ind w:right="-144"/>
        <w:jc w:val="both"/>
        <w:rPr>
          <w:sz w:val="22"/>
          <w:szCs w:val="22"/>
        </w:rPr>
      </w:pPr>
      <w:r>
        <w:rPr>
          <w:rFonts w:cs="Arial" w:ascii="Arial" w:hAnsi="Arial"/>
          <w:b/>
          <w:bCs/>
          <w:sz w:val="22"/>
          <w:szCs w:val="22"/>
        </w:rPr>
        <w:t>CRITÉRIOS DE MEDIÇÃO E PAGAMENTO</w:t>
      </w:r>
    </w:p>
    <w:p>
      <w:pPr>
        <w:pStyle w:val="CabealhoeRodap"/>
        <w:ind w:right="-144"/>
        <w:jc w:val="both"/>
        <w:rPr>
          <w:sz w:val="22"/>
          <w:szCs w:val="22"/>
        </w:rPr>
      </w:pPr>
      <w:r>
        <w:rPr>
          <w:rFonts w:cs="Arial" w:ascii="Arial" w:hAnsi="Arial"/>
          <w:color w:val="000000"/>
          <w:sz w:val="22"/>
          <w:szCs w:val="22"/>
        </w:rPr>
        <w:t>Os pagamentos ao contratado somente serão realizados mediante a efetiva entrega dos produtos, nas condições estabelecidas, o que será comprovado por meio de atestação em documento correspondente, emitida pelo gestor de contrato do Município;</w:t>
      </w:r>
    </w:p>
    <w:p>
      <w:pPr>
        <w:pStyle w:val="CabealhoeRodap"/>
        <w:ind w:right="-144"/>
        <w:jc w:val="both"/>
        <w:rPr>
          <w:sz w:val="22"/>
          <w:szCs w:val="22"/>
        </w:rPr>
      </w:pPr>
      <w:r>
        <w:rPr>
          <w:rFonts w:cs="Arial" w:ascii="Arial" w:hAnsi="Arial"/>
          <w:color w:val="000000"/>
          <w:sz w:val="22"/>
          <w:szCs w:val="22"/>
        </w:rPr>
        <w:t xml:space="preserve">O pagamento decorrente da concretização do objeto licitado será efetuado pela Tesouraria, em parcela única, conforme nota fiscal/fatura, em até 30 (trinta) dias úteis após o recebimento definitivo; </w:t>
      </w:r>
    </w:p>
    <w:p>
      <w:pPr>
        <w:pStyle w:val="CabealhoeRodap"/>
        <w:ind w:right="-144"/>
        <w:jc w:val="both"/>
        <w:rPr>
          <w:sz w:val="22"/>
          <w:szCs w:val="22"/>
        </w:rPr>
      </w:pPr>
      <w:r>
        <w:rPr>
          <w:rFonts w:cs="Arial" w:ascii="Arial" w:hAnsi="Arial"/>
          <w:color w:val="000000"/>
          <w:sz w:val="22"/>
          <w:szCs w:val="22"/>
        </w:rPr>
        <w:t>A nota fiscal/fatura deverá ser emitida pela CONTRATADA em inteira conformidade com as exigências legais e contratuais, especialmente as de natureza fiscal;</w:t>
      </w:r>
    </w:p>
    <w:p>
      <w:pPr>
        <w:pStyle w:val="CabealhoeRodap"/>
        <w:ind w:right="-144"/>
        <w:jc w:val="both"/>
        <w:rPr>
          <w:sz w:val="22"/>
          <w:szCs w:val="22"/>
        </w:rPr>
      </w:pPr>
      <w:r>
        <w:rPr>
          <w:rFonts w:cs="Arial" w:ascii="Arial" w:hAnsi="Arial"/>
          <w:color w:val="000000"/>
          <w:sz w:val="22"/>
          <w:szCs w:val="22"/>
        </w:rPr>
        <w:t>O gestor e/ou a Contabilidade,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pPr>
        <w:pStyle w:val="CabealhoeRodap"/>
        <w:ind w:right="-144"/>
        <w:jc w:val="both"/>
        <w:rPr>
          <w:sz w:val="22"/>
          <w:szCs w:val="22"/>
        </w:rPr>
      </w:pPr>
      <w:r>
        <w:rPr>
          <w:rFonts w:cs="Arial" w:ascii="Arial" w:hAnsi="Arial"/>
          <w:color w:val="000000"/>
          <w:sz w:val="22"/>
          <w:szCs w:val="22"/>
        </w:rPr>
        <w:t>O pagamento devido pelo Município será efetuado por meio de transferência em conta bancária a ser informada pela CONTRATADA ou, eventualmente, por outra forma que vier a ser convencionada entre as partes, por OBTV, na plataforma Transferegov.</w:t>
      </w:r>
    </w:p>
    <w:p>
      <w:pPr>
        <w:pStyle w:val="CabealhoeRodap"/>
        <w:ind w:right="-144"/>
        <w:jc w:val="both"/>
        <w:rPr>
          <w:sz w:val="22"/>
          <w:szCs w:val="22"/>
        </w:rPr>
      </w:pPr>
      <w:r>
        <w:rPr>
          <w:rFonts w:cs="Arial" w:ascii="Arial" w:hAnsi="Arial"/>
          <w:color w:val="000000"/>
          <w:sz w:val="22"/>
          <w:szCs w:val="22"/>
        </w:rPr>
        <w:t>Todo pagamento que vier a ser considerado contratualmente indevido será objeto de ajuste nos pagamentos futuros ou cobrados da Contratada.</w:t>
      </w:r>
    </w:p>
    <w:p>
      <w:pPr>
        <w:pStyle w:val="CabealhoeRodap"/>
        <w:ind w:right="-144"/>
        <w:jc w:val="both"/>
        <w:rPr>
          <w:sz w:val="22"/>
          <w:szCs w:val="22"/>
        </w:rPr>
      </w:pPr>
      <w:r>
        <w:rPr>
          <w:rFonts w:cs="Arial" w:ascii="Arial" w:hAnsi="Arial"/>
          <w:color w:val="000000"/>
          <w:sz w:val="22"/>
          <w:szCs w:val="22"/>
        </w:rPr>
        <w:t>Uma vez paga a importância discriminada na nota fiscal/fatura, a CONTRATADA dará ao Município plena, geral e irretratável quitação dos valores nela discriminados, para nada mais vir a reclamar ou exigir a qualquer título, tempo ou forma;</w:t>
      </w:r>
    </w:p>
    <w:p>
      <w:pPr>
        <w:pStyle w:val="CabealhoeRodap"/>
        <w:ind w:right="-144"/>
        <w:jc w:val="both"/>
        <w:rPr>
          <w:sz w:val="22"/>
          <w:szCs w:val="22"/>
        </w:rPr>
      </w:pPr>
      <w:r>
        <w:rPr>
          <w:rFonts w:cs="Arial" w:ascii="Arial" w:hAnsi="Arial"/>
          <w:b w:val="false"/>
          <w:bCs w:val="false"/>
          <w:color w:val="000000"/>
          <w:sz w:val="22"/>
          <w:szCs w:val="22"/>
        </w:rPr>
        <w:t>Os demais critérios restarão estabelecidos em Termo de referência.</w:t>
      </w:r>
    </w:p>
    <w:p>
      <w:pPr>
        <w:pStyle w:val="CabealhoeRodap"/>
        <w:ind w:right="-144"/>
        <w:jc w:val="both"/>
        <w:rPr>
          <w:rFonts w:ascii="Arial" w:hAnsi="Arial" w:cs="Arial"/>
          <w:b/>
          <w:bCs/>
          <w:sz w:val="22"/>
          <w:szCs w:val="22"/>
        </w:rPr>
      </w:pPr>
      <w:r>
        <w:rPr>
          <w:rFonts w:cs="Arial" w:ascii="Arial" w:hAnsi="Arial"/>
          <w:b/>
          <w:bCs/>
          <w:sz w:val="22"/>
          <w:szCs w:val="22"/>
        </w:rPr>
      </w:r>
    </w:p>
    <w:p>
      <w:pPr>
        <w:pStyle w:val="CabealhoeRodap"/>
        <w:ind w:right="-144"/>
        <w:jc w:val="both"/>
        <w:rPr>
          <w:rFonts w:ascii="Arial" w:hAnsi="Arial" w:cs="Arial"/>
          <w:b/>
          <w:bCs/>
          <w:sz w:val="22"/>
          <w:szCs w:val="22"/>
        </w:rPr>
      </w:pPr>
      <w:r>
        <w:rPr>
          <w:rFonts w:cs="Arial" w:ascii="Arial" w:hAnsi="Arial"/>
          <w:b/>
          <w:bCs/>
          <w:sz w:val="22"/>
          <w:szCs w:val="22"/>
        </w:rPr>
      </w:r>
    </w:p>
    <w:p>
      <w:pPr>
        <w:pStyle w:val="ListParagraph"/>
        <w:widowControl/>
        <w:numPr>
          <w:ilvl w:val="0"/>
          <w:numId w:val="3"/>
        </w:numPr>
        <w:pBdr>
          <w:top w:val="single" w:sz="4" w:space="1" w:color="000000"/>
          <w:left w:val="single" w:sz="4" w:space="4" w:color="000000"/>
          <w:bottom w:val="single" w:sz="4" w:space="1" w:color="000000"/>
          <w:right w:val="single" w:sz="4" w:space="4" w:color="000000"/>
        </w:pBdr>
        <w:shd w:val="clear" w:color="auto" w:fill="8DB3E2" w:themeFill="text2" w:themeFillTint="66"/>
        <w:tabs>
          <w:tab w:val="clear" w:pos="720"/>
          <w:tab w:val="left" w:pos="142" w:leader="none"/>
        </w:tabs>
        <w:suppressAutoHyphens w:val="false"/>
        <w:bidi w:val="0"/>
        <w:spacing w:before="0" w:after="0"/>
        <w:ind w:hanging="0" w:left="0" w:right="113"/>
        <w:contextualSpacing/>
        <w:jc w:val="both"/>
        <w:rPr>
          <w:rFonts w:ascii="Arial" w:hAnsi="Arial"/>
          <w:b/>
          <w:bCs/>
          <w:sz w:val="22"/>
          <w:szCs w:val="22"/>
        </w:rPr>
      </w:pPr>
      <w:r>
        <w:rPr>
          <w:rFonts w:ascii="Arial" w:hAnsi="Arial"/>
          <w:b/>
          <w:bCs/>
          <w:sz w:val="22"/>
          <w:szCs w:val="22"/>
          <w:shd w:fill="auto" w:val="clear"/>
        </w:rPr>
        <w:t>Justificativas p</w:t>
      </w:r>
      <w:r>
        <w:rPr>
          <w:rFonts w:ascii="Arial" w:hAnsi="Arial"/>
          <w:b/>
          <w:bCs/>
          <w:sz w:val="22"/>
          <w:szCs w:val="22"/>
        </w:rPr>
        <w:t xml:space="preserve">ara o parcelamento ou não da contratação (artigo 15,§1º, VIII do Decreto nº 3.537/2023): </w:t>
      </w:r>
    </w:p>
    <w:tbl>
      <w:tblPr>
        <w:tblStyle w:val="Tabelacomgrade"/>
        <w:tblW w:w="93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4"/>
        <w:gridCol w:w="9072"/>
      </w:tblGrid>
      <w:tr>
        <w:trPr>
          <w:trHeight w:val="95" w:hRule="atLeast"/>
        </w:trPr>
        <w:tc>
          <w:tcPr>
            <w:tcW w:w="284" w:type="dxa"/>
            <w:tcBorders>
              <w:top w:val="nil"/>
              <w:left w:val="nil"/>
              <w:bottom w:val="single" w:sz="12" w:space="0" w:color="000000"/>
              <w:right w:val="nil"/>
            </w:tcBorders>
          </w:tcPr>
          <w:p>
            <w:pPr>
              <w:pStyle w:val="ListParagraph"/>
              <w:widowControl/>
              <w:spacing w:before="0" w:after="0"/>
              <w:ind w:left="0" w:right="-144"/>
              <w:contextualSpacing/>
              <w:jc w:val="both"/>
              <w:rPr>
                <w:rFonts w:ascii="Arial" w:hAnsi="Arial" w:cs="Arial"/>
                <w:b/>
                <w:bCs/>
                <w:sz w:val="22"/>
                <w:szCs w:val="22"/>
              </w:rPr>
            </w:pPr>
            <w:r>
              <w:rPr>
                <w:rFonts w:cs="Arial" w:ascii="Arial" w:hAnsi="Arial"/>
                <w:b/>
                <w:bCs/>
                <w:sz w:val="22"/>
                <w:szCs w:val="22"/>
              </w:rPr>
            </w:r>
          </w:p>
        </w:tc>
        <w:tc>
          <w:tcPr>
            <w:tcW w:w="9072" w:type="dxa"/>
            <w:vMerge w:val="restart"/>
            <w:tcBorders>
              <w:top w:val="nil"/>
              <w:left w:val="nil"/>
              <w:bottom w:val="nil"/>
              <w:right w:val="nil"/>
            </w:tcBorders>
          </w:tcPr>
          <w:p>
            <w:pPr>
              <w:pStyle w:val="Normal"/>
              <w:jc w:val="both"/>
              <w:rPr>
                <w:rFonts w:ascii="Arial" w:hAnsi="Arial"/>
                <w:sz w:val="22"/>
                <w:szCs w:val="22"/>
              </w:rPr>
            </w:pPr>
            <w:r>
              <w:rPr>
                <w:rFonts w:eastAsia="Times New Roman" w:cs="Arial" w:ascii="Arial" w:hAnsi="Arial"/>
                <w:bCs/>
                <w:kern w:val="0"/>
                <w:sz w:val="22"/>
                <w:szCs w:val="22"/>
                <w:lang w:val="pt-BR" w:eastAsia="pt-BR" w:bidi="ar-SA"/>
              </w:rPr>
              <w:t>Considerando a especificidade do objeto a ser licitado, entendemos que cabe o parcelamento do mesmo, em razão de tratar-se de uma compra única, possibilitando maior celeridade, economia, fiscalização e controle dos gastos. 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as vantagens da redução de custos, com divisão do objeto em itens, e o dever de buscar a ampliação da competição e de evitar a concentração de mercado. Nesse caso, sugerimos a licitação por itens, onde o objeto é dividido em partes específicas, cada qual representando um bem de forma autônoma, visando um aumento da competitividade do certame, pois possibilita a participação de vários fornecedores.</w:t>
            </w:r>
          </w:p>
        </w:tc>
      </w:tr>
      <w:tr>
        <w:trPr>
          <w:trHeight w:val="94"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left="-111" w:right="-144"/>
              <w:contextualSpacing/>
              <w:jc w:val="center"/>
              <w:rPr>
                <w:rFonts w:ascii="Arial" w:hAnsi="Arial" w:cs="Arial"/>
                <w:sz w:val="22"/>
                <w:szCs w:val="22"/>
              </w:rPr>
            </w:pPr>
            <w:r>
              <w:rPr>
                <w:rFonts w:cs="Arial" w:ascii="Arial" w:hAnsi="Arial"/>
                <w:sz w:val="22"/>
                <w:szCs w:val="22"/>
              </w:rPr>
            </w:r>
          </w:p>
        </w:tc>
        <w:tc>
          <w:tcPr>
            <w:tcW w:w="9072" w:type="dxa"/>
            <w:vMerge w:val="continue"/>
            <w:tcBorders>
              <w:top w:val="nil"/>
              <w:left w:val="single" w:sz="12" w:space="0" w:color="000000"/>
              <w:bottom w:val="nil"/>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r>
        <w:trPr>
          <w:trHeight w:val="94" w:hRule="atLeast"/>
        </w:trPr>
        <w:tc>
          <w:tcPr>
            <w:tcW w:w="284" w:type="dxa"/>
            <w:tcBorders>
              <w:top w:val="single" w:sz="12" w:space="0" w:color="000000"/>
              <w:left w:val="nil"/>
              <w:bottom w:val="nil"/>
              <w:right w:val="nil"/>
            </w:tcBorders>
          </w:tcPr>
          <w:p>
            <w:pPr>
              <w:pStyle w:val="ListParagraph"/>
              <w:widowControl/>
              <w:spacing w:before="0" w:after="0"/>
              <w:ind w:left="0" w:right="-144"/>
              <w:contextualSpacing/>
              <w:jc w:val="center"/>
              <w:rPr>
                <w:rFonts w:ascii="Arial" w:hAnsi="Arial" w:cs="Arial"/>
                <w:b/>
                <w:bCs/>
                <w:color w:val="FF0000"/>
                <w:sz w:val="22"/>
                <w:szCs w:val="22"/>
              </w:rPr>
            </w:pPr>
            <w:r>
              <w:rPr>
                <w:rFonts w:cs="Arial" w:ascii="Arial" w:hAnsi="Arial"/>
                <w:b/>
                <w:bCs/>
                <w:color w:val="FF0000"/>
                <w:sz w:val="22"/>
                <w:szCs w:val="22"/>
              </w:rPr>
            </w:r>
          </w:p>
        </w:tc>
        <w:tc>
          <w:tcPr>
            <w:tcW w:w="9072" w:type="dxa"/>
            <w:vMerge w:val="continue"/>
            <w:tcBorders>
              <w:top w:val="nil"/>
              <w:left w:val="nil"/>
              <w:bottom w:val="nil"/>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r>
        <w:trPr/>
        <w:tc>
          <w:tcPr>
            <w:tcW w:w="284" w:type="dxa"/>
            <w:tcBorders>
              <w:top w:val="nil"/>
              <w:left w:val="nil"/>
              <w:bottom w:val="nil"/>
              <w:right w:val="nil"/>
            </w:tcBorders>
          </w:tcPr>
          <w:p>
            <w:pPr>
              <w:pStyle w:val="ListParagraph"/>
              <w:widowControl/>
              <w:spacing w:before="0" w:after="0"/>
              <w:ind w:left="0" w:right="-144"/>
              <w:contextualSpacing/>
              <w:jc w:val="left"/>
              <w:rPr>
                <w:rFonts w:ascii="Arial" w:hAnsi="Arial" w:cs="Arial"/>
                <w:b/>
                <w:bCs/>
                <w:color w:val="FF0000"/>
                <w:sz w:val="22"/>
                <w:szCs w:val="22"/>
              </w:rPr>
            </w:pPr>
            <w:r>
              <w:rPr>
                <w:rFonts w:cs="Arial" w:ascii="Arial" w:hAnsi="Arial"/>
                <w:b/>
                <w:bCs/>
                <w:color w:val="FF0000"/>
                <w:sz w:val="22"/>
                <w:szCs w:val="22"/>
              </w:rPr>
            </w:r>
          </w:p>
        </w:tc>
        <w:tc>
          <w:tcPr>
            <w:tcW w:w="9072" w:type="dxa"/>
            <w:tcBorders>
              <w:top w:val="nil"/>
              <w:left w:val="nil"/>
              <w:bottom w:val="nil"/>
              <w:right w:val="nil"/>
            </w:tcBorders>
          </w:tcPr>
          <w:p>
            <w:pPr>
              <w:pStyle w:val="ListParagraph"/>
              <w:widowControl/>
              <w:spacing w:before="0" w:after="0"/>
              <w:ind w:left="0" w:right="-144"/>
              <w:contextualSpacing/>
              <w:jc w:val="both"/>
              <w:rPr>
                <w:rFonts w:ascii="Arial" w:hAnsi="Arial" w:cs="Arial"/>
                <w:b/>
                <w:bCs/>
                <w:sz w:val="22"/>
                <w:szCs w:val="22"/>
              </w:rPr>
            </w:pPr>
            <w:r>
              <w:rPr>
                <w:rFonts w:cs="Arial" w:ascii="Arial" w:hAnsi="Arial"/>
                <w:b/>
                <w:bCs/>
                <w:sz w:val="22"/>
                <w:szCs w:val="22"/>
              </w:rPr>
            </w:r>
          </w:p>
        </w:tc>
      </w:tr>
      <w:tr>
        <w:trPr>
          <w:trHeight w:val="951" w:hRule="atLeast"/>
        </w:trPr>
        <w:tc>
          <w:tcPr>
            <w:tcW w:w="284" w:type="dxa"/>
            <w:tcBorders>
              <w:top w:val="nil"/>
              <w:left w:val="nil"/>
              <w:bottom w:val="single" w:sz="12" w:space="0" w:color="000000"/>
              <w:right w:val="nil"/>
            </w:tcBorders>
          </w:tcPr>
          <w:p>
            <w:pPr>
              <w:pStyle w:val="ListParagraph"/>
              <w:widowControl/>
              <w:spacing w:before="0" w:after="0"/>
              <w:ind w:left="0" w:right="-144"/>
              <w:contextualSpacing/>
              <w:jc w:val="center"/>
              <w:rPr>
                <w:rFonts w:ascii="Arial" w:hAnsi="Arial" w:cs="Arial"/>
                <w:b/>
                <w:bCs/>
                <w:color w:val="FF0000"/>
                <w:sz w:val="22"/>
                <w:szCs w:val="22"/>
              </w:rPr>
            </w:pPr>
            <w:r>
              <w:rPr>
                <w:rFonts w:cs="Arial" w:ascii="Arial" w:hAnsi="Arial"/>
                <w:b/>
                <w:bCs/>
                <w:color w:val="FF0000"/>
                <w:sz w:val="22"/>
                <w:szCs w:val="22"/>
              </w:rPr>
            </w:r>
          </w:p>
        </w:tc>
        <w:tc>
          <w:tcPr>
            <w:tcW w:w="9072" w:type="dxa"/>
            <w:vMerge w:val="restart"/>
            <w:tcBorders>
              <w:top w:val="nil"/>
              <w:left w:val="nil"/>
              <w:bottom w:val="nil"/>
              <w:right w:val="nil"/>
            </w:tcBorders>
          </w:tcPr>
          <w:p>
            <w:pPr>
              <w:pStyle w:val="ListParagraph"/>
              <w:widowControl/>
              <w:spacing w:before="0" w:after="0"/>
              <w:ind w:left="0" w:right="-144"/>
              <w:contextualSpacing/>
              <w:jc w:val="both"/>
              <w:rPr>
                <w:rFonts w:eastAsia="Times New Roman" w:cs="Arial"/>
                <w:bCs/>
                <w:kern w:val="0"/>
                <w:lang w:val="pt-BR" w:eastAsia="pt-BR" w:bidi="ar-SA"/>
              </w:rPr>
            </w:pPr>
            <w:r>
              <w:rPr>
                <w:rFonts w:ascii="Arial" w:hAnsi="Arial"/>
                <w:sz w:val="22"/>
                <w:szCs w:val="22"/>
              </w:rPr>
            </w:r>
          </w:p>
          <w:p>
            <w:pPr>
              <w:pStyle w:val="ListParagraph"/>
              <w:widowControl/>
              <w:spacing w:before="0" w:after="0"/>
              <w:ind w:left="0" w:right="-144"/>
              <w:contextualSpacing/>
              <w:jc w:val="both"/>
              <w:rPr>
                <w:rFonts w:ascii="Arial" w:hAnsi="Arial"/>
                <w:sz w:val="22"/>
                <w:szCs w:val="22"/>
              </w:rPr>
            </w:pPr>
            <w:r>
              <w:rPr>
                <w:rFonts w:eastAsia="Times New Roman" w:cs="Arial" w:ascii="Arial" w:hAnsi="Arial"/>
                <w:bCs/>
                <w:kern w:val="0"/>
                <w:sz w:val="22"/>
                <w:szCs w:val="22"/>
                <w:lang w:val="pt-BR" w:eastAsia="pt-BR" w:bidi="ar-SA"/>
              </w:rPr>
              <w:t>A</w:t>
            </w:r>
            <w:r>
              <w:rPr>
                <w:rFonts w:eastAsia="Times New Roman" w:cs="Arial" w:ascii="Arial" w:hAnsi="Arial"/>
                <w:bCs/>
                <w:kern w:val="0"/>
                <w:sz w:val="22"/>
                <w:szCs w:val="22"/>
                <w:lang w:val="pt-BR" w:eastAsia="pt-BR" w:bidi="ar-SA"/>
              </w:rPr>
              <w:t xml:space="preserve"> contratação do objeto não será parcelada por item, considerando prejuízos para o mun</w:t>
            </w:r>
            <w:r>
              <w:rPr>
                <w:rFonts w:eastAsia="Times New Roman" w:cs="Arial" w:ascii="Arial" w:hAnsi="Arial"/>
                <w:bCs/>
                <w:kern w:val="0"/>
                <w:sz w:val="22"/>
                <w:szCs w:val="22"/>
                <w:lang w:val="pt-BR" w:eastAsia="pt-BR" w:bidi="ar-SA"/>
              </w:rPr>
              <w:t xml:space="preserve">ípio em </w:t>
            </w:r>
            <w:r>
              <w:rPr>
                <w:rFonts w:eastAsia="Times New Roman" w:cs="Arial" w:ascii="Arial" w:hAnsi="Arial"/>
                <w:bCs/>
                <w:kern w:val="0"/>
                <w:sz w:val="22"/>
                <w:szCs w:val="22"/>
                <w:lang w:val="pt-BR" w:eastAsia="pt-BR" w:bidi="ar-SA"/>
              </w:rPr>
              <w:t>relação ao conjunto e a perda de economia de escala, além do melhor aproveitamento dos recursos disponíveis e facilitação do plano de fiscalização.</w:t>
            </w:r>
          </w:p>
        </w:tc>
      </w:tr>
      <w:tr>
        <w:trPr>
          <w:trHeight w:val="94" w:hRule="atLeast"/>
        </w:trPr>
        <w:tc>
          <w:tcPr>
            <w:tcW w:w="284" w:type="dxa"/>
            <w:tcBorders>
              <w:top w:val="single" w:sz="12" w:space="0" w:color="000000"/>
              <w:left w:val="single" w:sz="12" w:space="0" w:color="000000"/>
              <w:bottom w:val="single" w:sz="12" w:space="0" w:color="000000"/>
              <w:right w:val="single" w:sz="12" w:space="0" w:color="000000"/>
            </w:tcBorders>
          </w:tcPr>
          <w:p>
            <w:pPr>
              <w:pStyle w:val="ListParagraph"/>
              <w:widowControl/>
              <w:spacing w:before="0" w:after="0"/>
              <w:ind w:left="0" w:right="-144"/>
              <w:contextualSpacing/>
              <w:jc w:val="center"/>
              <w:rPr>
                <w:rFonts w:ascii="Arial" w:hAnsi="Arial" w:cs="Arial"/>
                <w:b/>
                <w:bCs/>
                <w:color w:val="FF0000"/>
                <w:sz w:val="22"/>
                <w:szCs w:val="22"/>
              </w:rPr>
            </w:pPr>
            <w:r>
              <w:rPr>
                <w:rFonts w:cs="Arial" w:ascii="Arial" w:hAnsi="Arial"/>
                <w:b/>
                <w:bCs/>
                <w:color w:val="FF0000"/>
                <w:sz w:val="22"/>
                <w:szCs w:val="22"/>
              </w:rPr>
            </w:r>
          </w:p>
        </w:tc>
        <w:tc>
          <w:tcPr>
            <w:tcW w:w="9072" w:type="dxa"/>
            <w:vMerge w:val="continue"/>
            <w:tcBorders>
              <w:left w:val="single" w:sz="12" w:space="0" w:color="000000"/>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r>
        <w:trPr>
          <w:trHeight w:val="121" w:hRule="atLeast"/>
        </w:trPr>
        <w:tc>
          <w:tcPr>
            <w:tcW w:w="284" w:type="dxa"/>
            <w:tcBorders>
              <w:top w:val="single" w:sz="12" w:space="0" w:color="000000"/>
              <w:left w:val="nil"/>
              <w:bottom w:val="nil"/>
              <w:right w:val="nil"/>
            </w:tcBorders>
          </w:tcPr>
          <w:p>
            <w:pPr>
              <w:pStyle w:val="ListParagraph"/>
              <w:widowControl/>
              <w:spacing w:before="0" w:after="0"/>
              <w:ind w:left="0" w:right="-144"/>
              <w:contextualSpacing/>
              <w:jc w:val="both"/>
              <w:rPr>
                <w:rFonts w:ascii="Arial" w:hAnsi="Arial" w:cs="Arial"/>
                <w:b/>
                <w:bCs/>
                <w:sz w:val="22"/>
                <w:szCs w:val="22"/>
              </w:rPr>
            </w:pPr>
            <w:r>
              <w:rPr>
                <w:rFonts w:cs="Arial" w:ascii="Arial" w:hAnsi="Arial"/>
                <w:b/>
                <w:bCs/>
                <w:sz w:val="22"/>
                <w:szCs w:val="22"/>
              </w:rPr>
            </w:r>
          </w:p>
        </w:tc>
        <w:tc>
          <w:tcPr>
            <w:tcW w:w="9072" w:type="dxa"/>
            <w:vMerge w:val="continue"/>
            <w:tcBorders>
              <w:left w:val="nil"/>
              <w:bottom w:val="nil"/>
              <w:right w:val="nil"/>
            </w:tcBorders>
          </w:tcPr>
          <w:p>
            <w:pPr>
              <w:pStyle w:val="ListParagraph"/>
              <w:widowControl/>
              <w:spacing w:before="0" w:after="0"/>
              <w:ind w:left="0" w:right="-144"/>
              <w:contextualSpacing/>
              <w:jc w:val="both"/>
              <w:rPr>
                <w:rFonts w:ascii="Arial" w:hAnsi="Arial" w:cs="Arial"/>
                <w:bCs/>
                <w:sz w:val="22"/>
                <w:szCs w:val="22"/>
              </w:rPr>
            </w:pPr>
            <w:r>
              <w:rPr>
                <w:rFonts w:cs="Arial" w:ascii="Arial" w:hAnsi="Arial"/>
                <w:bCs/>
                <w:sz w:val="22"/>
                <w:szCs w:val="22"/>
              </w:rPr>
            </w:r>
          </w:p>
        </w:tc>
      </w:tr>
    </w:tbl>
    <w:p>
      <w:pPr>
        <w:pStyle w:val="ListParagraph"/>
        <w:widowControl/>
        <w:numPr>
          <w:ilvl w:val="0"/>
          <w:numId w:val="0"/>
        </w:numPr>
        <w:suppressAutoHyphens w:val="false"/>
        <w:bidi w:val="0"/>
        <w:spacing w:before="0" w:after="0"/>
        <w:ind w:hanging="0" w:left="0" w:right="0"/>
        <w:contextualSpacing/>
        <w:jc w:val="left"/>
        <w:rPr>
          <w:rFonts w:ascii="Arial" w:hAnsi="Arial"/>
          <w:sz w:val="22"/>
          <w:szCs w:val="22"/>
          <w:highlight w:val="none"/>
          <w:shd w:fill="B4C7DC" w:val="clear"/>
        </w:rPr>
      </w:pPr>
      <w:r>
        <w:rPr/>
      </w:r>
    </w:p>
    <w:p>
      <w:pPr>
        <w:pStyle w:val="ListParagraph"/>
        <w:widowControl/>
        <w:numPr>
          <w:ilvl w:val="0"/>
          <w:numId w:val="0"/>
        </w:numPr>
        <w:suppressAutoHyphens w:val="false"/>
        <w:bidi w:val="0"/>
        <w:spacing w:before="0" w:after="0"/>
        <w:ind w:hanging="0" w:left="0" w:right="0"/>
        <w:contextualSpacing/>
        <w:jc w:val="left"/>
        <w:rPr>
          <w:rFonts w:ascii="Arial" w:hAnsi="Arial"/>
          <w:sz w:val="22"/>
          <w:szCs w:val="22"/>
          <w:highlight w:val="none"/>
          <w:shd w:fill="B4C7DC" w:val="clear"/>
        </w:rPr>
      </w:pPr>
      <w:r>
        <w:rPr>
          <w:rFonts w:ascii="Arial" w:hAnsi="Arial"/>
          <w:b/>
          <w:bCs/>
          <w:sz w:val="22"/>
          <w:szCs w:val="22"/>
          <w:shd w:fill="B4C7DC" w:val="clear"/>
        </w:rPr>
        <w:t>3- Contratações correlatas e/ou interdependentes (art. 15, §1º, XI do Decreto nº3.537/2023):</w:t>
      </w:r>
    </w:p>
    <w:p>
      <w:pPr>
        <w:pStyle w:val="ListParagraph"/>
        <w:widowControl/>
        <w:numPr>
          <w:ilvl w:val="0"/>
          <w:numId w:val="0"/>
        </w:numPr>
        <w:suppressAutoHyphens w:val="false"/>
        <w:bidi w:val="0"/>
        <w:spacing w:before="0" w:after="0"/>
        <w:ind w:hanging="0" w:left="0" w:right="0"/>
        <w:contextualSpacing/>
        <w:jc w:val="left"/>
        <w:rPr>
          <w:rFonts w:ascii="Arial" w:hAnsi="Arial"/>
          <w:sz w:val="22"/>
          <w:szCs w:val="22"/>
          <w:highlight w:val="none"/>
          <w:shd w:fill="B4C7DC" w:val="clear"/>
        </w:rPr>
      </w:pPr>
      <w:r>
        <w:rPr>
          <w:rFonts w:ascii="Arial" w:hAnsi="Arial"/>
          <w:sz w:val="22"/>
          <w:szCs w:val="22"/>
          <w:shd w:fill="B4C7DC" w:val="clear"/>
        </w:rPr>
      </w:r>
    </w:p>
    <w:p>
      <w:pPr>
        <w:pStyle w:val="Normal"/>
        <w:ind w:hanging="0" w:left="-1"/>
        <w:jc w:val="both"/>
        <w:rPr>
          <w:rFonts w:ascii="Arial" w:hAnsi="Arial"/>
        </w:rPr>
      </w:pPr>
      <w:r>
        <w:rPr>
          <w:rFonts w:ascii="Arial" w:hAnsi="Arial"/>
          <w:bCs/>
          <w:color w:themeColor="text1" w:val="000000"/>
          <w:sz w:val="22"/>
          <w:szCs w:val="22"/>
        </w:rPr>
        <w:t xml:space="preserve">3.1 Não se verifica contratações correlatas nem interdependentes para a viabilidade e contratação desta demanda, sendo a contratação gerenciada diretamente entre a Administração Pública e o fornecedor. </w:t>
      </w:r>
    </w:p>
    <w:p>
      <w:pPr>
        <w:pStyle w:val="Normal"/>
        <w:ind w:hanging="0" w:left="0"/>
        <w:rPr>
          <w:rFonts w:ascii="Arial" w:hAnsi="Arial"/>
          <w:b/>
          <w:bCs/>
          <w:sz w:val="22"/>
          <w:szCs w:val="22"/>
        </w:rPr>
      </w:pPr>
      <w:r>
        <w:rPr>
          <w:rFonts w:ascii="Arial" w:hAnsi="Arial"/>
          <w:b/>
          <w:bCs/>
          <w:sz w:val="22"/>
          <w:szCs w:val="22"/>
        </w:rPr>
      </w:r>
    </w:p>
    <w:p>
      <w:pPr>
        <w:pStyle w:val="ListParagraph"/>
        <w:widowControl/>
        <w:numPr>
          <w:ilvl w:val="0"/>
          <w:numId w:val="0"/>
        </w:numPr>
        <w:suppressAutoHyphens w:val="false"/>
        <w:bidi w:val="0"/>
        <w:spacing w:before="0" w:after="0"/>
        <w:ind w:hanging="0" w:left="0" w:right="0"/>
        <w:contextualSpacing/>
        <w:jc w:val="left"/>
        <w:rPr>
          <w:rFonts w:ascii="Arial" w:hAnsi="Arial"/>
          <w:b/>
          <w:bCs/>
          <w:highlight w:val="none"/>
          <w:shd w:fill="B4C7DC" w:val="clear"/>
        </w:rPr>
      </w:pPr>
      <w:r>
        <w:rPr>
          <w:rFonts w:ascii="Arial" w:hAnsi="Arial"/>
          <w:b/>
          <w:bCs/>
          <w:sz w:val="22"/>
          <w:szCs w:val="22"/>
          <w:shd w:fill="B4C7DC" w:val="clear"/>
        </w:rPr>
        <w:t>4- Resultados pretendidos (art. 15, §1º, IX do Decreto nº 3.537/2023):</w:t>
      </w:r>
    </w:p>
    <w:p>
      <w:pPr>
        <w:pStyle w:val="ListParagraph"/>
        <w:widowControl/>
        <w:numPr>
          <w:ilvl w:val="0"/>
          <w:numId w:val="0"/>
        </w:numPr>
        <w:suppressAutoHyphens w:val="false"/>
        <w:bidi w:val="0"/>
        <w:spacing w:before="0" w:after="0"/>
        <w:ind w:hanging="0" w:left="0" w:right="0"/>
        <w:contextualSpacing/>
        <w:jc w:val="left"/>
        <w:rPr>
          <w:rFonts w:ascii="Arial" w:hAnsi="Arial"/>
          <w:b/>
          <w:bCs/>
          <w:highlight w:val="none"/>
          <w:shd w:fill="B4C7DC" w:val="clear"/>
        </w:rPr>
      </w:pPr>
      <w:r>
        <w:rPr>
          <w:rFonts w:ascii="Arial" w:hAnsi="Arial"/>
          <w:b/>
          <w:bCs/>
          <w:shd w:fill="B4C7DC" w:val="clear"/>
        </w:rPr>
      </w:r>
    </w:p>
    <w:p>
      <w:pPr>
        <w:pStyle w:val="ListParagraph"/>
        <w:ind w:hanging="2" w:left="0"/>
        <w:jc w:val="both"/>
        <w:rPr>
          <w:rFonts w:ascii="Arial" w:hAnsi="Arial"/>
          <w:b w:val="false"/>
          <w:bCs w:val="false"/>
          <w:sz w:val="22"/>
          <w:szCs w:val="22"/>
        </w:rPr>
      </w:pPr>
      <w:r>
        <w:rPr>
          <w:rFonts w:cs="Arial" w:ascii="Arial" w:hAnsi="Arial"/>
          <w:b w:val="false"/>
          <w:bCs w:val="false"/>
          <w:sz w:val="22"/>
          <w:szCs w:val="22"/>
        </w:rPr>
        <w:t>4.1 Pretende-se, com o presente processo licitatório, assegurar a seleção da proposta apta a gerar a contratação mais vantajosa para o Município. Almeja-se, igualmente, assegurar tratamento isonômico entre os licitantes, bem como a justa competição, bem como evitar contratação com sobre preço ou com preço manifestamente inexequível e superfaturamento na execução do contrato. A contratação decorrente do presente processo licitatório exigirá da contratada o cumprimento das boas práticas de sustentabilidade, contribuindo para a racionalização e otimização do uso dos recursos, bem como para a redução dos impactos ambientais.</w:t>
      </w:r>
    </w:p>
    <w:p>
      <w:pPr>
        <w:pStyle w:val="CabealhoeRodap"/>
        <w:ind w:right="-144"/>
        <w:jc w:val="both"/>
        <w:rPr>
          <w:rFonts w:ascii="Arial" w:hAnsi="Arial" w:cs="Arial"/>
          <w:b w:val="false"/>
          <w:bCs w:val="false"/>
          <w:sz w:val="22"/>
          <w:szCs w:val="22"/>
        </w:rPr>
      </w:pPr>
      <w:r>
        <w:rPr>
          <w:rFonts w:cs="Arial" w:ascii="Arial" w:hAnsi="Arial"/>
          <w:b w:val="false"/>
          <w:bCs w:val="false"/>
          <w:sz w:val="22"/>
          <w:szCs w:val="22"/>
        </w:rPr>
      </w:r>
    </w:p>
    <w:p>
      <w:pPr>
        <w:pStyle w:val="CabealhoeRodap"/>
        <w:widowControl/>
        <w:numPr>
          <w:ilvl w:val="0"/>
          <w:numId w:val="0"/>
        </w:numPr>
        <w:suppressAutoHyphens w:val="false"/>
        <w:bidi w:val="0"/>
        <w:spacing w:before="0" w:after="0"/>
        <w:ind w:hanging="0" w:left="0" w:right="-170"/>
        <w:jc w:val="both"/>
        <w:rPr>
          <w:rFonts w:ascii="Arial" w:hAnsi="Arial" w:cs="Arial"/>
          <w:b w:val="false"/>
          <w:bCs w:val="false"/>
          <w:sz w:val="22"/>
          <w:szCs w:val="22"/>
          <w:highlight w:val="none"/>
          <w:shd w:fill="B4C7DC" w:val="clear"/>
        </w:rPr>
      </w:pPr>
      <w:r>
        <w:rPr>
          <w:rFonts w:cs="Arial" w:ascii="Arial" w:hAnsi="Arial"/>
          <w:b/>
          <w:bCs/>
          <w:sz w:val="22"/>
          <w:szCs w:val="22"/>
          <w:shd w:fill="B4C7DC" w:val="clear"/>
        </w:rPr>
        <w:t>5- Providências a serem adotadas (art. 15, §1º, X do Decreto nº 3.537/2023):</w:t>
      </w:r>
    </w:p>
    <w:p>
      <w:pPr>
        <w:pStyle w:val="CabealhoeRodap"/>
        <w:numPr>
          <w:ilvl w:val="0"/>
          <w:numId w:val="0"/>
        </w:numPr>
        <w:ind w:hanging="0" w:left="720" w:right="-144"/>
        <w:jc w:val="both"/>
        <w:rPr>
          <w:rFonts w:ascii="Arial" w:hAnsi="Arial" w:cs="Arial"/>
          <w:b w:val="false"/>
          <w:bCs w:val="false"/>
          <w:sz w:val="22"/>
          <w:szCs w:val="22"/>
          <w:highlight w:val="none"/>
          <w:shd w:fill="B4C7DC" w:val="clear"/>
        </w:rPr>
      </w:pPr>
      <w:r>
        <w:rPr>
          <w:rFonts w:cs="Arial" w:ascii="Arial" w:hAnsi="Arial"/>
          <w:b w:val="false"/>
          <w:bCs w:val="false"/>
          <w:sz w:val="22"/>
          <w:szCs w:val="22"/>
          <w:shd w:fill="B4C7DC" w:val="clear"/>
        </w:rPr>
      </w:r>
    </w:p>
    <w:p>
      <w:pPr>
        <w:pStyle w:val="ListParagraph"/>
        <w:widowControl/>
        <w:numPr>
          <w:ilvl w:val="0"/>
          <w:numId w:val="0"/>
        </w:numPr>
        <w:suppressAutoHyphens w:val="false"/>
        <w:bidi w:val="0"/>
        <w:spacing w:before="0" w:after="0"/>
        <w:ind w:hanging="0" w:left="0" w:right="0"/>
        <w:contextualSpacing/>
        <w:jc w:val="both"/>
        <w:rPr>
          <w:highlight w:val="none"/>
          <w:shd w:fill="auto" w:val="clear"/>
        </w:rPr>
      </w:pPr>
      <w:r>
        <w:rPr>
          <w:rFonts w:ascii="Arial" w:hAnsi="Arial"/>
          <w:bCs/>
          <w:sz w:val="22"/>
          <w:szCs w:val="22"/>
          <w:shd w:fill="auto" w:val="clear"/>
        </w:rPr>
        <w:t>5.1 Capacitação: A administração deverá providenciar capacitação para os fiscais e gestor de contrato, para a plena execução da função.5.2Elaboração do Termo de Referência, contendo todos os elementos necessários para a contratação de bens e serviços;</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5.2 Elaboração de contrato;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5.3 Acompanhamento da execução do contrato, através de fiscal de contrato (técnico e administrativo);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5.4 Receber o objeto da contratação.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5.5 Será requisitado do gestor ou encarregado o acompanhamento do serviço, a fim de avaliar se as peças trocadas são genuínas e de primeiro uso.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ascii="Arial" w:hAnsi="Arial"/>
          <w:bCs/>
          <w:sz w:val="22"/>
          <w:szCs w:val="22"/>
          <w:shd w:fill="auto" w:val="clear"/>
        </w:rPr>
        <w:t>5.6 Incluso a presente segue mapa de risco, na ânsia de verificar possíveis particulares que podem comprometer a presente contratação.</w:t>
      </w:r>
    </w:p>
    <w:p>
      <w:pPr>
        <w:pStyle w:val="ListParagraph"/>
        <w:widowControl/>
        <w:numPr>
          <w:ilvl w:val="0"/>
          <w:numId w:val="0"/>
        </w:numPr>
        <w:suppressAutoHyphens w:val="false"/>
        <w:bidi w:val="0"/>
        <w:spacing w:before="0" w:after="0"/>
        <w:ind w:hanging="0" w:left="0" w:right="0"/>
        <w:contextualSpacing/>
        <w:jc w:val="both"/>
        <w:rPr>
          <w:rFonts w:ascii="Arial" w:hAnsi="Arial"/>
          <w:highlight w:val="none"/>
          <w:shd w:fill="auto" w:val="clear"/>
        </w:rPr>
      </w:pPr>
      <w:r>
        <w:rPr>
          <w:rFonts w:cs="Arial" w:ascii="Arial" w:hAnsi="Arial"/>
          <w:bCs/>
          <w:color w:themeColor="text1" w:val="000000"/>
          <w:sz w:val="22"/>
          <w:szCs w:val="22"/>
          <w:shd w:fill="auto" w:val="clear"/>
        </w:rPr>
        <w:t xml:space="preserve">5.7 Designar por portaria fiscal do contrato: </w:t>
      </w:r>
      <w:r>
        <w:rPr>
          <w:rFonts w:cs="Arial" w:ascii="Arial" w:hAnsi="Arial"/>
          <w:color w:themeColor="text1" w:val="000000"/>
          <w:sz w:val="22"/>
          <w:szCs w:val="22"/>
          <w:shd w:fill="auto" w:val="clear"/>
        </w:rPr>
        <w:t xml:space="preserve">Sr. </w:t>
      </w:r>
      <w:r>
        <w:rPr>
          <w:rFonts w:cs="Arial" w:ascii="Arial" w:hAnsi="Arial"/>
          <w:bCs/>
          <w:color w:themeColor="text1" w:val="000000"/>
          <w:sz w:val="22"/>
          <w:szCs w:val="22"/>
          <w:u w:val="single"/>
          <w:shd w:fill="auto" w:val="clear"/>
        </w:rPr>
        <w:t>RENATO REIS DUARTE – Matrícula 1.329, Portaria 2074/2025.</w:t>
      </w:r>
    </w:p>
    <w:p>
      <w:pPr>
        <w:pStyle w:val="ListParagraph"/>
        <w:numPr>
          <w:ilvl w:val="0"/>
          <w:numId w:val="0"/>
        </w:numPr>
        <w:ind w:hanging="0" w:left="1080"/>
        <w:jc w:val="both"/>
        <w:rPr>
          <w:highlight w:val="none"/>
          <w:shd w:fill="FFFF00" w:val="clear"/>
        </w:rPr>
      </w:pPr>
      <w:r>
        <w:rPr>
          <w:shd w:fill="FFFF00" w:val="clear"/>
        </w:rPr>
      </w:r>
    </w:p>
    <w:p>
      <w:pPr>
        <w:pStyle w:val="Normal"/>
        <w:ind w:hanging="0" w:left="-1"/>
        <w:jc w:val="both"/>
        <w:rPr>
          <w:rFonts w:ascii="Arial" w:hAnsi="Arial"/>
        </w:rPr>
      </w:pPr>
      <w:r>
        <w:rPr>
          <w:rFonts w:ascii="Arial" w:hAnsi="Arial"/>
          <w:bCs/>
          <w:color w:themeColor="text1" w:val="000000"/>
          <w:sz w:val="22"/>
          <w:szCs w:val="22"/>
        </w:rPr>
        <w:t>Ademais, para que a pretendida contratação tenha sucesso, é preciso que outras etapas sejam concluídas, quais sejam: a) elaboração de minuta do edital; b) realização de certificação de disponibilidade orçamentária; c) designação em Portaria de pregoeiro, equipe de apoio, agente de contratação (conforme o caso); d) elaboração de minuta do contrato; e) encaminhamento do processo para análise jurídica; f) análise da manifestação jurídica e atendimento aos apontamentos constantes no parecer, mediante Nota Técnica com os ajustes indicados; g) publicação e divulgação do edital e anexos; h) resposta a eventuais pedidos de esclarecimentos e/ou impugnação, caso aplicável; i) realização do certame, com suas respectivas etapas; j) realização de empenho; e l) assinatura e publicação do contrato.</w:t>
      </w:r>
    </w:p>
    <w:p>
      <w:pPr>
        <w:pStyle w:val="Normal"/>
        <w:ind w:hanging="0" w:left="-1"/>
        <w:jc w:val="both"/>
        <w:rPr>
          <w:rFonts w:ascii="Arial" w:hAnsi="Arial"/>
          <w:bCs/>
          <w:color w:themeColor="text1" w:val="000000"/>
          <w:sz w:val="22"/>
          <w:szCs w:val="22"/>
        </w:rPr>
      </w:pPr>
      <w:r>
        <w:rPr>
          <w:rFonts w:ascii="Arial" w:hAnsi="Arial"/>
          <w:bCs/>
          <w:color w:themeColor="text1" w:val="000000"/>
          <w:sz w:val="22"/>
          <w:szCs w:val="22"/>
        </w:rPr>
      </w:r>
    </w:p>
    <w:p>
      <w:pPr>
        <w:pStyle w:val="ListParagraph"/>
        <w:numPr>
          <w:ilvl w:val="0"/>
          <w:numId w:val="0"/>
        </w:numPr>
        <w:ind w:hanging="0" w:left="358"/>
        <w:rPr>
          <w:rFonts w:ascii="Arial" w:hAnsi="Arial"/>
          <w:highlight w:val="none"/>
          <w:shd w:fill="B4C7DC" w:val="clear"/>
        </w:rPr>
      </w:pPr>
      <w:r>
        <w:rPr>
          <w:rFonts w:ascii="Arial" w:hAnsi="Arial"/>
          <w:b/>
          <w:bCs/>
          <w:sz w:val="22"/>
          <w:szCs w:val="22"/>
          <w:shd w:fill="B4C7DC" w:val="clear"/>
        </w:rPr>
        <w:t>6.Possíveis impactos ambientais (art. 15, §1º, XII do Decreto nº 3.537/2023):</w:t>
      </w:r>
    </w:p>
    <w:p>
      <w:pPr>
        <w:pStyle w:val="ListParagraph"/>
        <w:numPr>
          <w:ilvl w:val="0"/>
          <w:numId w:val="0"/>
        </w:numPr>
        <w:ind w:hanging="0" w:left="358"/>
        <w:rPr>
          <w:rFonts w:ascii="Arial" w:hAnsi="Arial"/>
          <w:highlight w:val="none"/>
          <w:shd w:fill="B4C7DC" w:val="clear"/>
        </w:rPr>
      </w:pPr>
      <w:r>
        <w:rPr>
          <w:rFonts w:ascii="Arial" w:hAnsi="Arial"/>
          <w:shd w:fill="B4C7DC" w:val="clear"/>
        </w:rPr>
      </w:r>
    </w:p>
    <w:p>
      <w:pPr>
        <w:pStyle w:val="Normal"/>
        <w:jc w:val="both"/>
        <w:rPr>
          <w:rFonts w:ascii="Arial" w:hAnsi="Arial"/>
        </w:rPr>
      </w:pPr>
      <w:r>
        <w:rPr>
          <w:rFonts w:ascii="Arial" w:hAnsi="Arial"/>
          <w:bCs/>
          <w:sz w:val="22"/>
          <w:szCs w:val="22"/>
        </w:rPr>
        <w:t>6.1. 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a emissão de gases efeito estufa e a geração de resíduos.</w:t>
      </w:r>
    </w:p>
    <w:p>
      <w:pPr>
        <w:pStyle w:val="Normal"/>
        <w:jc w:val="both"/>
        <w:rPr>
          <w:rFonts w:ascii="Arial" w:hAnsi="Arial"/>
        </w:rPr>
      </w:pPr>
      <w:r>
        <w:rPr>
          <w:rFonts w:ascii="Arial" w:hAnsi="Arial"/>
          <w:bCs/>
          <w:sz w:val="22"/>
          <w:szCs w:val="22"/>
        </w:rPr>
        <w:t>6.2. A CONTRATADA deverá respeitar a legislação vigente e as normas técnicas, elaboradas pela ABNT e pelo INMETRO, para aferição e garantia de aplicação dos requisitos mínimos de qualidade, utilidade e segurança dos materiais e serviços.</w:t>
      </w:r>
    </w:p>
    <w:p>
      <w:pPr>
        <w:pStyle w:val="Normal"/>
        <w:jc w:val="both"/>
        <w:rPr>
          <w:rFonts w:ascii="Arial" w:hAnsi="Arial"/>
        </w:rPr>
      </w:pPr>
      <w:r>
        <w:rPr>
          <w:rFonts w:ascii="Arial" w:hAnsi="Arial"/>
          <w:bCs/>
          <w:sz w:val="22"/>
          <w:szCs w:val="22"/>
        </w:rPr>
        <w:t>6.3. Ainda, deve ser considerado e gerenciado adequadamente para minimizar o impacto no meio am</w:t>
      </w:r>
      <w:r>
        <w:rPr>
          <w:rFonts w:ascii="Arial" w:hAnsi="Arial"/>
          <w:bCs/>
          <w:sz w:val="22"/>
          <w:szCs w:val="22"/>
        </w:rPr>
        <w:t>biente. Alguns dos principais impactos ambientais associados à aquisição de um trator agrícola incluem:</w:t>
      </w:r>
    </w:p>
    <w:p>
      <w:pPr>
        <w:pStyle w:val="Normal"/>
        <w:jc w:val="both"/>
        <w:rPr>
          <w:rFonts w:ascii="Arial" w:hAnsi="Arial"/>
          <w:sz w:val="22"/>
          <w:szCs w:val="22"/>
        </w:rPr>
      </w:pPr>
      <w:r>
        <w:rPr>
          <w:rFonts w:ascii="Arial" w:hAnsi="Arial"/>
          <w:bCs/>
          <w:sz w:val="22"/>
          <w:szCs w:val="22"/>
        </w:rPr>
        <w:t>6.3.1 Emissões de gases de efeito estufa: O uso de máquinas pesadas, como trator geralmente envolve a queima de combustíveis fósseis, resultando na emissão de gases de efeito estufa, contribuindo para o aquecimento global e as mudanças climáticas.</w:t>
      </w:r>
    </w:p>
    <w:p>
      <w:pPr>
        <w:pStyle w:val="Normal"/>
        <w:jc w:val="both"/>
        <w:rPr>
          <w:rFonts w:ascii="Arial" w:hAnsi="Arial"/>
          <w:sz w:val="22"/>
          <w:szCs w:val="22"/>
        </w:rPr>
      </w:pPr>
      <w:r>
        <w:rPr>
          <w:rFonts w:ascii="Arial" w:hAnsi="Arial"/>
          <w:bCs/>
          <w:sz w:val="22"/>
          <w:szCs w:val="22"/>
        </w:rPr>
        <w:t>6.32 Consumo de combustível: Os tratores consomem grandes quantidades de combustível durante sua operação, o que pode levar a um aumento na demanda por combustíveis fósseis e na emissão de poluentes atmosféricos.</w:t>
      </w:r>
    </w:p>
    <w:p>
      <w:pPr>
        <w:pStyle w:val="Normal"/>
        <w:jc w:val="both"/>
        <w:rPr>
          <w:rFonts w:ascii="Arial" w:hAnsi="Arial"/>
          <w:sz w:val="22"/>
          <w:szCs w:val="22"/>
        </w:rPr>
      </w:pPr>
      <w:r>
        <w:rPr>
          <w:rFonts w:ascii="Arial" w:hAnsi="Arial"/>
          <w:bCs/>
          <w:sz w:val="22"/>
          <w:szCs w:val="22"/>
        </w:rPr>
        <w:t>6.3.3 Impacto no solo: O uso do trator pode resultar em compactação do solo e perturbação do ecossistema local, afetando a biodiversidade e a qualidade do solo.</w:t>
      </w:r>
    </w:p>
    <w:p>
      <w:pPr>
        <w:pStyle w:val="Normal"/>
        <w:jc w:val="both"/>
        <w:rPr>
          <w:rFonts w:ascii="Arial" w:hAnsi="Arial"/>
          <w:sz w:val="22"/>
          <w:szCs w:val="22"/>
        </w:rPr>
      </w:pPr>
      <w:r>
        <w:rPr>
          <w:rFonts w:ascii="Arial" w:hAnsi="Arial"/>
          <w:bCs/>
          <w:sz w:val="22"/>
          <w:szCs w:val="22"/>
        </w:rPr>
        <w:t>6.3.4 Ruído e vibrações: A operação do trator pode gerar ruído e vibrações que impactam a fauna local e podem causar distúrbios em ecossistemas sensíveis.</w:t>
      </w:r>
    </w:p>
    <w:p>
      <w:pPr>
        <w:pStyle w:val="Normal"/>
        <w:jc w:val="both"/>
        <w:rPr>
          <w:rFonts w:ascii="Arial" w:hAnsi="Arial"/>
          <w:sz w:val="22"/>
          <w:szCs w:val="22"/>
        </w:rPr>
      </w:pPr>
      <w:r>
        <w:rPr>
          <w:rFonts w:ascii="Arial" w:hAnsi="Arial"/>
          <w:bCs/>
          <w:sz w:val="22"/>
          <w:szCs w:val="22"/>
        </w:rPr>
        <w:t>6.3.5 Resíduos e descarte: No final da vida útil do trator, o descarte dos resíduos e materiais pode representar um desafio ambiental se não for feito adequadamente.</w:t>
      </w:r>
    </w:p>
    <w:p>
      <w:pPr>
        <w:pStyle w:val="Normal"/>
        <w:shd w:val="clear" w:color="auto" w:fill="365F91" w:themeFill="accent1" w:themeFillShade="bf"/>
        <w:tabs>
          <w:tab w:val="clear" w:pos="720"/>
          <w:tab w:val="left" w:pos="284" w:leader="none"/>
        </w:tabs>
        <w:spacing w:lineRule="auto" w:line="276" w:before="240" w:after="200"/>
        <w:ind w:hanging="2" w:right="-2"/>
        <w:jc w:val="both"/>
        <w:rPr>
          <w:rFonts w:ascii="Arial" w:hAnsi="Arial"/>
          <w:sz w:val="22"/>
          <w:szCs w:val="22"/>
        </w:rPr>
      </w:pPr>
      <w:r>
        <w:rPr>
          <w:rFonts w:cs="Arial" w:ascii="Arial" w:hAnsi="Arial"/>
          <w:b/>
          <w:bCs/>
          <w:color w:themeColor="background1" w:val="FFFFFF"/>
          <w:sz w:val="22"/>
          <w:szCs w:val="22"/>
        </w:rPr>
        <w:t>V – Posicionamento Conclusivo:</w:t>
      </w:r>
    </w:p>
    <w:p>
      <w:pPr>
        <w:pStyle w:val="Normal"/>
        <w:rPr>
          <w:rFonts w:ascii="Arial" w:hAnsi="Arial"/>
          <w:sz w:val="22"/>
          <w:szCs w:val="22"/>
        </w:rPr>
      </w:pPr>
      <w:r>
        <w:rPr>
          <w:rFonts w:cs="Arial" w:ascii="Arial" w:hAnsi="Arial"/>
          <w:sz w:val="22"/>
          <w:szCs w:val="22"/>
        </w:rPr>
        <w:t>Em consonância com a Lei nº 14.133/2021 e o Decreto nº 3.537/2023, de 09 de maio de 2023, o presente ESTUDO TÉCNICO PRELIMINAR analisou as necessidades da área requisitante e os aspectos normativos para a contratação de empresa autorizada para a aquisição de veículo furgão cargo, com o objetivo de atender às demandas de forma eficaz, eficiente, efetiva e econômica. Em face dos potenciais benefícios identificados, RECOMENDA-SE o prosseguimento do processo, não se observando impedimentos à continuidade da presente aquisição/contratação no formato indicado.</w:t>
      </w:r>
    </w:p>
    <w:p>
      <w:pPr>
        <w:pStyle w:val="Normal"/>
        <w:ind w:hanging="2" w:right="-2"/>
        <w:jc w:val="both"/>
        <w:rPr>
          <w:rFonts w:ascii="Arial" w:hAnsi="Arial" w:cs="Arial"/>
          <w:sz w:val="22"/>
          <w:szCs w:val="22"/>
        </w:rPr>
      </w:pPr>
      <w:r>
        <w:rPr>
          <w:rFonts w:cs="Arial" w:ascii="Arial" w:hAnsi="Arial"/>
          <w:sz w:val="22"/>
          <w:szCs w:val="22"/>
        </w:rPr>
      </w:r>
    </w:p>
    <w:p>
      <w:pPr>
        <w:pStyle w:val="Normal"/>
        <w:ind w:hanging="2" w:right="-2"/>
        <w:jc w:val="center"/>
        <w:rPr>
          <w:rFonts w:ascii="Arial" w:hAnsi="Arial" w:cs="Arial"/>
          <w:sz w:val="22"/>
          <w:szCs w:val="22"/>
        </w:rPr>
      </w:pPr>
      <w:r>
        <w:rPr>
          <w:rFonts w:cs="Arial" w:ascii="Arial" w:hAnsi="Arial"/>
          <w:sz w:val="22"/>
          <w:szCs w:val="22"/>
        </w:rPr>
        <w:t>Bandeirantes (PR), 10 de março de 2025</w:t>
      </w:r>
    </w:p>
    <w:p>
      <w:pPr>
        <w:pStyle w:val="Normal"/>
        <w:ind w:hanging="2" w:right="-2"/>
        <w:jc w:val="center"/>
        <w:rPr>
          <w:rFonts w:ascii="Arial" w:hAnsi="Arial" w:cs="Arial"/>
          <w:sz w:val="22"/>
          <w:szCs w:val="22"/>
        </w:rPr>
      </w:pPr>
      <w:r>
        <w:rPr>
          <w:rFonts w:cs="Arial" w:ascii="Arial" w:hAnsi="Arial"/>
          <w:sz w:val="22"/>
          <w:szCs w:val="22"/>
        </w:rPr>
      </w:r>
    </w:p>
    <w:p>
      <w:pPr>
        <w:pStyle w:val="Normal"/>
        <w:ind w:hanging="2" w:right="-2"/>
        <w:jc w:val="center"/>
        <w:rPr>
          <w:rFonts w:ascii="Arial" w:hAnsi="Arial" w:cs="Arial"/>
          <w:sz w:val="22"/>
          <w:szCs w:val="22"/>
        </w:rPr>
      </w:pPr>
      <w:r>
        <w:rPr>
          <w:rFonts w:cs="Arial" w:ascii="Arial" w:hAnsi="Arial"/>
          <w:sz w:val="22"/>
          <w:szCs w:val="22"/>
        </w:rPr>
      </w:r>
    </w:p>
    <w:p>
      <w:pPr>
        <w:pStyle w:val="Normal"/>
        <w:ind w:hanging="2" w:right="-2"/>
        <w:jc w:val="center"/>
        <w:rPr>
          <w:rFonts w:ascii="Arial" w:hAnsi="Arial" w:cs="Arial"/>
          <w:b/>
          <w:bCs/>
          <w:sz w:val="22"/>
          <w:szCs w:val="22"/>
        </w:rPr>
      </w:pPr>
      <w:r>
        <w:rPr>
          <w:rFonts w:cs="Arial" w:ascii="Arial" w:hAnsi="Arial"/>
          <w:b/>
          <w:bCs/>
          <w:sz w:val="22"/>
          <w:szCs w:val="22"/>
        </w:rPr>
      </w:r>
    </w:p>
    <w:p>
      <w:pPr>
        <w:pStyle w:val="Normal"/>
        <w:ind w:right="-426"/>
        <w:jc w:val="center"/>
        <w:rPr>
          <w:rFonts w:eastAsia="Merriweather"/>
          <w:sz w:val="22"/>
          <w:szCs w:val="22"/>
        </w:rPr>
      </w:pPr>
      <w:r>
        <w:rPr/>
      </w:r>
    </w:p>
    <w:p>
      <w:pPr>
        <w:pStyle w:val="Normal"/>
        <w:spacing w:lineRule="auto" w:line="360"/>
        <w:ind w:hanging="2"/>
        <w:jc w:val="center"/>
        <w:rPr/>
      </w:pPr>
      <w:r>
        <w:rPr>
          <w:rFonts w:eastAsia="Arial"/>
          <w:sz w:val="20"/>
          <w:szCs w:val="20"/>
        </w:rPr>
        <w:t>__________________________________</w:t>
      </w:r>
    </w:p>
    <w:p>
      <w:pPr>
        <w:pStyle w:val="Normal"/>
        <w:ind w:right="-426"/>
        <w:jc w:val="center"/>
        <w:rPr/>
      </w:pPr>
      <w:r>
        <w:rPr>
          <w:rFonts w:eastAsia="Merriweather"/>
          <w:b/>
          <w:sz w:val="22"/>
          <w:szCs w:val="22"/>
        </w:rPr>
        <w:t>CAMILA DIAS RAMALHO MATTA</w:t>
      </w:r>
    </w:p>
    <w:p>
      <w:pPr>
        <w:pStyle w:val="Normal"/>
        <w:ind w:right="-426"/>
        <w:jc w:val="center"/>
        <w:rPr>
          <w:b/>
          <w:sz w:val="22"/>
          <w:szCs w:val="22"/>
        </w:rPr>
      </w:pPr>
      <w:r>
        <w:rPr>
          <w:b/>
          <w:sz w:val="22"/>
          <w:szCs w:val="22"/>
        </w:rPr>
        <w:t>Secretária de Agricultura e Pecuária</w:t>
      </w:r>
    </w:p>
    <w:p>
      <w:pPr>
        <w:pStyle w:val="Normal"/>
        <w:ind w:right="-426"/>
        <w:jc w:val="center"/>
        <w:rPr>
          <w:b/>
          <w:sz w:val="22"/>
          <w:szCs w:val="22"/>
        </w:rPr>
      </w:pPr>
      <w:r>
        <w:rPr>
          <w:b/>
          <w:sz w:val="22"/>
          <w:szCs w:val="22"/>
        </w:rPr>
      </w:r>
    </w:p>
    <w:p>
      <w:pPr>
        <w:pStyle w:val="Normal"/>
        <w:ind w:right="-426"/>
        <w:jc w:val="center"/>
        <w:rPr>
          <w:b/>
          <w:sz w:val="22"/>
          <w:szCs w:val="22"/>
        </w:rPr>
      </w:pPr>
      <w:r>
        <w:rPr>
          <w:b/>
          <w:sz w:val="22"/>
          <w:szCs w:val="22"/>
        </w:rPr>
      </w:r>
    </w:p>
    <w:p>
      <w:pPr>
        <w:pStyle w:val="Normal"/>
        <w:spacing w:lineRule="auto" w:line="360"/>
        <w:ind w:hanging="2"/>
        <w:jc w:val="center"/>
        <w:rPr/>
      </w:pPr>
      <w:r>
        <w:rPr>
          <w:rFonts w:eastAsia="Arial"/>
          <w:sz w:val="20"/>
          <w:szCs w:val="20"/>
        </w:rPr>
        <w:t xml:space="preserve">   </w:t>
      </w:r>
      <w:r>
        <w:rPr>
          <w:rFonts w:eastAsia="Arial"/>
          <w:sz w:val="20"/>
          <w:szCs w:val="20"/>
        </w:rPr>
        <w:t>__________________________________</w:t>
      </w:r>
    </w:p>
    <w:p>
      <w:pPr>
        <w:pStyle w:val="Normal"/>
        <w:ind w:right="-426"/>
        <w:jc w:val="center"/>
        <w:rPr/>
      </w:pPr>
      <w:r>
        <w:rPr>
          <w:rFonts w:eastAsia="Merriweather"/>
          <w:b/>
          <w:bCs/>
          <w:sz w:val="22"/>
          <w:szCs w:val="22"/>
        </w:rPr>
        <w:t>PATRÍCIA DE OLIVEIRA PEDROSO</w:t>
      </w:r>
    </w:p>
    <w:p>
      <w:pPr>
        <w:pStyle w:val="Normal"/>
        <w:ind w:right="-426"/>
        <w:jc w:val="center"/>
        <w:rPr/>
      </w:pPr>
      <w:r>
        <w:rPr>
          <w:b/>
          <w:sz w:val="22"/>
          <w:szCs w:val="22"/>
        </w:rPr>
        <w:t>Secretária de Planejamento</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701" w:right="851" w:gutter="0" w:header="720" w:top="2410" w:footer="720" w:bottom="992"/>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swiss"/>
    <w:pitch w:val="variable"/>
  </w:font>
  <w:font w:name="Segoe UI">
    <w:charset w:val="00"/>
    <w:family w:val="swiss"/>
    <w:pitch w:val="variable"/>
  </w:font>
  <w:font w:name="OpenSymbol">
    <w:altName w:val="Arial Unicode MS"/>
    <w:charset w:val="00"/>
    <w:family w:val="roman"/>
    <w:pitch w:val="variable"/>
  </w:font>
  <w:font w:name="Liberation Sans">
    <w:altName w:val="Arial"/>
    <w:charset w:val="00"/>
    <w:family w:val="swiss"/>
    <w:pitch w:val="variable"/>
  </w:font>
  <w:font w:name="Nyala">
    <w:charset w:val="00"/>
    <w:family w:val="roman"/>
    <w:pitch w:val="variable"/>
  </w:font>
  <w:font w:name="Georgia">
    <w:charset w:val="00"/>
    <w:family w:val="roman"/>
    <w:pitch w:val="variable"/>
  </w:font>
  <w:font w:name="Arial">
    <w:charset w:val="01"/>
    <w:family w:val="swiss"/>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57"/>
      <w:rPr/>
    </w:pPr>
    <w:r>
      <w:rPr/>
      <w:drawing>
        <wp:anchor behindDoc="1" distT="0" distB="0" distL="0" distR="0" simplePos="0" locked="0" layoutInCell="1" allowOverlap="1" relativeHeight="17">
          <wp:simplePos x="0" y="0"/>
          <wp:positionH relativeFrom="column">
            <wp:posOffset>-1270</wp:posOffset>
          </wp:positionH>
          <wp:positionV relativeFrom="paragraph">
            <wp:posOffset>3810</wp:posOffset>
          </wp:positionV>
          <wp:extent cx="979805" cy="1045845"/>
          <wp:effectExtent l="0" t="0" r="0" b="0"/>
          <wp:wrapNone/>
          <wp:docPr id="1" name="Imagem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1" descr=""/>
                  <pic:cNvPicPr>
                    <a:picLocks noChangeAspect="1" noChangeArrowheads="1"/>
                  </pic:cNvPicPr>
                </pic:nvPicPr>
                <pic:blipFill>
                  <a:blip r:embed="rId1"/>
                  <a:stretch>
                    <a:fillRect/>
                  </a:stretch>
                </pic:blipFill>
                <pic:spPr bwMode="auto">
                  <a:xfrm>
                    <a:off x="0" y="0"/>
                    <a:ext cx="979805" cy="1045845"/>
                  </a:xfrm>
                  <a:prstGeom prst="rect">
                    <a:avLst/>
                  </a:prstGeom>
                  <a:noFill/>
                </pic:spPr>
              </pic:pic>
            </a:graphicData>
          </a:graphic>
        </wp:anchor>
      </w:drawing>
      <mc:AlternateContent>
        <mc:Choice Requires="wps">
          <w:drawing>
            <wp:anchor behindDoc="1" distT="0" distB="0" distL="0" distR="0" simplePos="0" locked="0" layoutInCell="1" allowOverlap="1" relativeHeight="48" wp14:anchorId="3A6ADE9B">
              <wp:simplePos x="0" y="0"/>
              <wp:positionH relativeFrom="column">
                <wp:posOffset>1028700</wp:posOffset>
              </wp:positionH>
              <wp:positionV relativeFrom="paragraph">
                <wp:posOffset>12065</wp:posOffset>
              </wp:positionV>
              <wp:extent cx="4242435" cy="864870"/>
              <wp:effectExtent l="0" t="0" r="0" b="0"/>
              <wp:wrapNone/>
              <wp:docPr id="2" name="Retângulo 6"/>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fillRef idx="0"/>
                      <a:effectRef idx="0"/>
                      <a:fontRef idx="minor"/>
                    </wps:style>
                    <wps:txb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wps:txbx>
                    <wps:bodyPr anchor="t">
                      <a:noAutofit/>
                    </wps:bodyPr>
                  </wps:wsp>
                </a:graphicData>
              </a:graphic>
            </wp:anchor>
          </w:drawing>
        </mc:Choice>
        <mc:Fallback>
          <w:pict>
            <v:rect id="shape_0" ID="Retângulo 6" path="m0,0l-2147483645,0l-2147483645,-2147483646l0,-2147483646xe" stroked="f" o:allowincell="f" style="position:absolute;margin-left:81pt;margin-top:0.95pt;width:334pt;height:68.05pt;mso-wrap-style:square;v-text-anchor:top" wp14:anchorId="3A6ADE9B">
              <v:fill o:detectmouseclick="t" on="false"/>
              <v:stroke color="#3465a4" joinstyle="round" endcap="flat"/>
              <v:textbo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v:textbox>
              <w10:wrap type="none"/>
            </v:rect>
          </w:pict>
        </mc:Fallback>
      </mc:AlternateContent>
    </w:r>
  </w:p>
  <w:p>
    <w:pPr>
      <w:pStyle w:val="Contedodoquadrouser"/>
      <w:spacing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Normal"/>
      <w:tabs>
        <w:tab w:val="clear" w:pos="720"/>
        <w:tab w:val="center" w:pos="4252" w:leader="none"/>
        <w:tab w:val="right" w:pos="8504" w:leader="none"/>
      </w:tabs>
      <w:ind w:hanging="2"/>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left="-57"/>
      <w:rPr/>
    </w:pPr>
    <w:r>
      <w:rPr/>
      <w:drawing>
        <wp:anchor behindDoc="1" distT="0" distB="0" distL="0" distR="0" simplePos="0" locked="0" layoutInCell="1" allowOverlap="1" relativeHeight="17">
          <wp:simplePos x="0" y="0"/>
          <wp:positionH relativeFrom="column">
            <wp:posOffset>-1270</wp:posOffset>
          </wp:positionH>
          <wp:positionV relativeFrom="paragraph">
            <wp:posOffset>3810</wp:posOffset>
          </wp:positionV>
          <wp:extent cx="979805" cy="1045845"/>
          <wp:effectExtent l="0" t="0" r="0" b="0"/>
          <wp:wrapNone/>
          <wp:docPr id="3" name="Imagem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1" descr=""/>
                  <pic:cNvPicPr>
                    <a:picLocks noChangeAspect="1" noChangeArrowheads="1"/>
                  </pic:cNvPicPr>
                </pic:nvPicPr>
                <pic:blipFill>
                  <a:blip r:embed="rId1"/>
                  <a:stretch>
                    <a:fillRect/>
                  </a:stretch>
                </pic:blipFill>
                <pic:spPr bwMode="auto">
                  <a:xfrm>
                    <a:off x="0" y="0"/>
                    <a:ext cx="979805" cy="1045845"/>
                  </a:xfrm>
                  <a:prstGeom prst="rect">
                    <a:avLst/>
                  </a:prstGeom>
                  <a:noFill/>
                </pic:spPr>
              </pic:pic>
            </a:graphicData>
          </a:graphic>
        </wp:anchor>
      </w:drawing>
      <mc:AlternateContent>
        <mc:Choice Requires="wps">
          <w:drawing>
            <wp:anchor behindDoc="1" distT="0" distB="0" distL="0" distR="0" simplePos="0" locked="0" layoutInCell="1" allowOverlap="1" relativeHeight="48" wp14:anchorId="3A6ADE9B">
              <wp:simplePos x="0" y="0"/>
              <wp:positionH relativeFrom="column">
                <wp:posOffset>1028700</wp:posOffset>
              </wp:positionH>
              <wp:positionV relativeFrom="paragraph">
                <wp:posOffset>12065</wp:posOffset>
              </wp:positionV>
              <wp:extent cx="4242435" cy="864870"/>
              <wp:effectExtent l="0" t="0" r="0" b="0"/>
              <wp:wrapNone/>
              <wp:docPr id="4" name="Retângulo 6"/>
              <a:graphic xmlns:a="http://schemas.openxmlformats.org/drawingml/2006/main">
                <a:graphicData uri="http://schemas.microsoft.com/office/word/2010/wordprocessingShape">
                  <wps:wsp>
                    <wps:cNvSpPr/>
                    <wps:spPr>
                      <a:xfrm>
                        <a:off x="0" y="0"/>
                        <a:ext cx="4242600" cy="864720"/>
                      </a:xfrm>
                      <a:prstGeom prst="rect">
                        <a:avLst/>
                      </a:prstGeom>
                      <a:noFill/>
                      <a:ln w="0">
                        <a:noFill/>
                      </a:ln>
                    </wps:spPr>
                    <wps:style>
                      <a:lnRef idx="0"/>
                      <a:fillRef idx="0"/>
                      <a:effectRef idx="0"/>
                      <a:fontRef idx="minor"/>
                    </wps:style>
                    <wps:txb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wps:txbx>
                    <wps:bodyPr anchor="t">
                      <a:noAutofit/>
                    </wps:bodyPr>
                  </wps:wsp>
                </a:graphicData>
              </a:graphic>
            </wp:anchor>
          </w:drawing>
        </mc:Choice>
        <mc:Fallback>
          <w:pict>
            <v:rect id="shape_0" ID="Retângulo 6" path="m0,0l-2147483645,0l-2147483645,-2147483646l0,-2147483646xe" stroked="f" o:allowincell="f" style="position:absolute;margin-left:81pt;margin-top:0.95pt;width:334pt;height:68.05pt;mso-wrap-style:square;v-text-anchor:top" wp14:anchorId="3A6ADE9B">
              <v:fill o:detectmouseclick="t" on="false"/>
              <v:stroke color="#3465a4" joinstyle="round" endcap="flat"/>
              <v:textbox>
                <w:txbxContent>
                  <w:p>
                    <w:pPr>
                      <w:pStyle w:val="Contedodoquadrouser"/>
                      <w:spacing w:before="120" w:after="0"/>
                      <w:ind w:hanging="3" w:left="1"/>
                      <w:jc w:val="center"/>
                      <w:rPr>
                        <w:sz w:val="28"/>
                        <w:szCs w:val="28"/>
                      </w:rPr>
                    </w:pPr>
                    <w:r>
                      <w:rPr>
                        <w:rFonts w:eastAsia="Algerian" w:cs="Algerian" w:ascii="Algerian" w:hAnsi="Algerian"/>
                        <w:i/>
                        <w:color w:val="000000"/>
                        <w:sz w:val="28"/>
                        <w:szCs w:val="28"/>
                      </w:rPr>
                      <w:t>ESTADO DO PARANÁ</w:t>
                    </w:r>
                  </w:p>
                  <w:p>
                    <w:pPr>
                      <w:pStyle w:val="Contedodoquadrouser"/>
                      <w:ind w:hanging="2"/>
                      <w:rPr>
                        <w:color w:val="000000"/>
                      </w:rPr>
                    </w:pPr>
                    <w:r>
                      <w:rPr>
                        <w:color w:val="000000"/>
                      </w:rPr>
                    </w:r>
                  </w:p>
                </w:txbxContent>
              </v:textbox>
              <w10:wrap type="none"/>
            </v:rect>
          </w:pict>
        </mc:Fallback>
      </mc:AlternateContent>
    </w:r>
  </w:p>
  <w:p>
    <w:pPr>
      <w:pStyle w:val="Contedodoquadrouser"/>
      <w:spacing w:before="360" w:after="0"/>
      <w:ind w:hanging="3" w:left="1"/>
      <w:jc w:val="center"/>
      <w:rPr>
        <w:sz w:val="28"/>
        <w:szCs w:val="28"/>
      </w:rPr>
    </w:pPr>
    <w:r>
      <w:rPr>
        <w:rFonts w:eastAsia="Algerian" w:cs="Algerian" w:ascii="Algerian" w:hAnsi="Algerian"/>
        <w:i/>
        <w:color w:val="000000"/>
        <w:sz w:val="28"/>
        <w:szCs w:val="28"/>
      </w:rPr>
      <w:t>PREFEITURA MUNICIPAL DE BANDEIRANTES</w:t>
    </w:r>
  </w:p>
  <w:p>
    <w:pPr>
      <w:pStyle w:val="Normal"/>
      <w:tabs>
        <w:tab w:val="clear" w:pos="720"/>
        <w:tab w:val="center" w:pos="4252" w:leader="none"/>
        <w:tab w:val="right" w:pos="8504" w:leader="none"/>
      </w:tabs>
      <w:ind w:hanging="2"/>
      <w:rPr>
        <w:color w:val="000000"/>
      </w:rPr>
    </w:pPr>
    <w:r>
      <w:rPr>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568" w:hanging="570"/>
      </w:pPr>
      <w:rPr/>
    </w:lvl>
    <w:lvl w:ilvl="1">
      <w:start w:val="1"/>
      <w:numFmt w:val="decimal"/>
      <w:lvlText w:val="%1.%2."/>
      <w:lvlJc w:val="left"/>
      <w:pPr>
        <w:tabs>
          <w:tab w:val="num" w:pos="0"/>
        </w:tabs>
        <w:ind w:left="358" w:hanging="360"/>
      </w:pPr>
      <w:rPr>
        <w:b/>
        <w:bCs/>
      </w:rPr>
    </w:lvl>
    <w:lvl w:ilvl="2">
      <w:start w:val="1"/>
      <w:numFmt w:val="decimal"/>
      <w:lvlText w:val="%1.%2.%3."/>
      <w:lvlJc w:val="left"/>
      <w:pPr>
        <w:tabs>
          <w:tab w:val="num" w:pos="0"/>
        </w:tabs>
        <w:ind w:left="718" w:hanging="720"/>
      </w:pPr>
      <w:rPr>
        <w:b/>
      </w:rPr>
    </w:lvl>
    <w:lvl w:ilvl="3">
      <w:start w:val="1"/>
      <w:numFmt w:val="decimal"/>
      <w:lvlText w:val="%1.%2.%3.%4."/>
      <w:lvlJc w:val="left"/>
      <w:pPr>
        <w:tabs>
          <w:tab w:val="num" w:pos="0"/>
        </w:tabs>
        <w:ind w:left="718" w:hanging="720"/>
      </w:pPr>
      <w:rPr/>
    </w:lvl>
    <w:lvl w:ilvl="4">
      <w:start w:val="1"/>
      <w:numFmt w:val="decimal"/>
      <w:lvlText w:val="%1.%2.%3.%4.%5."/>
      <w:lvlJc w:val="left"/>
      <w:pPr>
        <w:tabs>
          <w:tab w:val="num" w:pos="0"/>
        </w:tabs>
        <w:ind w:left="1078" w:hanging="1080"/>
      </w:pPr>
      <w:rPr/>
    </w:lvl>
    <w:lvl w:ilvl="5">
      <w:start w:val="1"/>
      <w:numFmt w:val="decimal"/>
      <w:lvlText w:val="%1.%2.%3.%4.%5.%6."/>
      <w:lvlJc w:val="left"/>
      <w:pPr>
        <w:tabs>
          <w:tab w:val="num" w:pos="0"/>
        </w:tabs>
        <w:ind w:left="1078" w:hanging="1080"/>
      </w:pPr>
      <w:rPr/>
    </w:lvl>
    <w:lvl w:ilvl="6">
      <w:start w:val="1"/>
      <w:numFmt w:val="decimal"/>
      <w:lvlText w:val="%1.%2.%3.%4.%5.%6.%7."/>
      <w:lvlJc w:val="left"/>
      <w:pPr>
        <w:tabs>
          <w:tab w:val="num" w:pos="0"/>
        </w:tabs>
        <w:ind w:left="1438" w:hanging="1440"/>
      </w:pPr>
      <w:rPr/>
    </w:lvl>
    <w:lvl w:ilvl="7">
      <w:start w:val="1"/>
      <w:numFmt w:val="decimal"/>
      <w:lvlText w:val="%1.%2.%3.%4.%5.%6.%7.%8."/>
      <w:lvlJc w:val="left"/>
      <w:pPr>
        <w:tabs>
          <w:tab w:val="num" w:pos="0"/>
        </w:tabs>
        <w:ind w:left="1438" w:hanging="1440"/>
      </w:pPr>
      <w:rPr/>
    </w:lvl>
    <w:lvl w:ilvl="8">
      <w:start w:val="1"/>
      <w:numFmt w:val="decimal"/>
      <w:lvlText w:val="%1.%2.%3.%4.%5.%6.%7.%8.%9."/>
      <w:lvlJc w:val="left"/>
      <w:pPr>
        <w:tabs>
          <w:tab w:val="num" w:pos="0"/>
        </w:tabs>
        <w:ind w:left="1798" w:hanging="1800"/>
      </w:pPr>
      <w:rPr/>
    </w:lvl>
  </w:abstractNum>
  <w:abstractNum w:abstractNumId="2">
    <w:lvl w:ilvl="0">
      <w:start w:val="1"/>
      <w:numFmt w:val="decimal"/>
      <w:lvlText w:val="%1."/>
      <w:lvlJc w:val="left"/>
      <w:pPr>
        <w:tabs>
          <w:tab w:val="num" w:pos="0"/>
        </w:tabs>
        <w:ind w:left="358" w:hanging="360"/>
      </w:pPr>
      <w:rPr/>
    </w:lvl>
    <w:lvl w:ilvl="1">
      <w:start w:val="1"/>
      <w:numFmt w:val="lowerLetter"/>
      <w:lvlText w:val="%2."/>
      <w:lvlJc w:val="left"/>
      <w:pPr>
        <w:tabs>
          <w:tab w:val="num" w:pos="0"/>
        </w:tabs>
        <w:ind w:left="1078" w:hanging="360"/>
      </w:pPr>
      <w:rPr/>
    </w:lvl>
    <w:lvl w:ilvl="2">
      <w:start w:val="1"/>
      <w:numFmt w:val="lowerRoman"/>
      <w:lvlText w:val="%3."/>
      <w:lvlJc w:val="right"/>
      <w:pPr>
        <w:tabs>
          <w:tab w:val="num" w:pos="0"/>
        </w:tabs>
        <w:ind w:left="1798" w:hanging="180"/>
      </w:pPr>
      <w:rPr/>
    </w:lvl>
    <w:lvl w:ilvl="3">
      <w:start w:val="1"/>
      <w:numFmt w:val="decimal"/>
      <w:lvlText w:val="%4."/>
      <w:lvlJc w:val="left"/>
      <w:pPr>
        <w:tabs>
          <w:tab w:val="num" w:pos="0"/>
        </w:tabs>
        <w:ind w:left="2518" w:hanging="360"/>
      </w:pPr>
      <w:rPr/>
    </w:lvl>
    <w:lvl w:ilvl="4">
      <w:start w:val="1"/>
      <w:numFmt w:val="lowerLetter"/>
      <w:lvlText w:val="%5."/>
      <w:lvlJc w:val="left"/>
      <w:pPr>
        <w:tabs>
          <w:tab w:val="num" w:pos="0"/>
        </w:tabs>
        <w:ind w:left="3238" w:hanging="360"/>
      </w:pPr>
      <w:rPr/>
    </w:lvl>
    <w:lvl w:ilvl="5">
      <w:start w:val="1"/>
      <w:numFmt w:val="lowerRoman"/>
      <w:lvlText w:val="%6."/>
      <w:lvlJc w:val="right"/>
      <w:pPr>
        <w:tabs>
          <w:tab w:val="num" w:pos="0"/>
        </w:tabs>
        <w:ind w:left="3958" w:hanging="180"/>
      </w:pPr>
      <w:rPr/>
    </w:lvl>
    <w:lvl w:ilvl="6">
      <w:start w:val="1"/>
      <w:numFmt w:val="decimal"/>
      <w:lvlText w:val="%7."/>
      <w:lvlJc w:val="left"/>
      <w:pPr>
        <w:tabs>
          <w:tab w:val="num" w:pos="0"/>
        </w:tabs>
        <w:ind w:left="4678" w:hanging="360"/>
      </w:pPr>
      <w:rPr/>
    </w:lvl>
    <w:lvl w:ilvl="7">
      <w:start w:val="1"/>
      <w:numFmt w:val="lowerLetter"/>
      <w:lvlText w:val="%8."/>
      <w:lvlJc w:val="left"/>
      <w:pPr>
        <w:tabs>
          <w:tab w:val="num" w:pos="0"/>
        </w:tabs>
        <w:ind w:left="5398" w:hanging="360"/>
      </w:pPr>
      <w:rPr/>
    </w:lvl>
    <w:lvl w:ilvl="8">
      <w:start w:val="1"/>
      <w:numFmt w:val="lowerRoman"/>
      <w:lvlText w:val="%9."/>
      <w:lvlJc w:val="right"/>
      <w:pPr>
        <w:tabs>
          <w:tab w:val="num" w:pos="0"/>
        </w:tabs>
        <w:ind w:left="6118" w:hanging="180"/>
      </w:pPr>
      <w:rPr/>
    </w:lvl>
  </w:abstractNum>
  <w:abstractNum w:abstractNumId="3">
    <w:lvl w:ilvl="0">
      <w:start w:val="1"/>
      <w:numFmt w:val="decimal"/>
      <w:lvlText w:val=" %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58" w:hanging="360"/>
      </w:pPr>
      <w:rPr/>
    </w:lvl>
    <w:lvl w:ilvl="1">
      <w:start w:val="4"/>
      <w:numFmt w:val="decimal"/>
      <w:lvlText w:val="%1.%2."/>
      <w:lvlJc w:val="left"/>
      <w:pPr>
        <w:tabs>
          <w:tab w:val="num" w:pos="0"/>
        </w:tabs>
        <w:ind w:left="539" w:hanging="540"/>
      </w:pPr>
      <w:rPr/>
    </w:lvl>
    <w:lvl w:ilvl="2">
      <w:start w:val="4"/>
      <w:numFmt w:val="decimal"/>
      <w:lvlText w:val="%1.%2.%3."/>
      <w:lvlJc w:val="left"/>
      <w:pPr>
        <w:tabs>
          <w:tab w:val="num" w:pos="0"/>
        </w:tabs>
        <w:ind w:left="720" w:hanging="720"/>
      </w:pPr>
      <w:rPr/>
    </w:lvl>
    <w:lvl w:ilvl="3">
      <w:start w:val="1"/>
      <w:numFmt w:val="decimal"/>
      <w:lvlText w:val="%1.%2.%3.%4."/>
      <w:lvlJc w:val="left"/>
      <w:pPr>
        <w:tabs>
          <w:tab w:val="num" w:pos="0"/>
        </w:tabs>
        <w:ind w:left="721" w:hanging="720"/>
      </w:pPr>
      <w:rPr/>
    </w:lvl>
    <w:lvl w:ilvl="4">
      <w:start w:val="1"/>
      <w:numFmt w:val="decimal"/>
      <w:lvlText w:val="%1.%2.%3.%4.%5."/>
      <w:lvlJc w:val="left"/>
      <w:pPr>
        <w:tabs>
          <w:tab w:val="num" w:pos="0"/>
        </w:tabs>
        <w:ind w:left="1082" w:hanging="1080"/>
      </w:pPr>
      <w:rPr/>
    </w:lvl>
    <w:lvl w:ilvl="5">
      <w:start w:val="1"/>
      <w:numFmt w:val="decimal"/>
      <w:lvlText w:val="%1.%2.%3.%4.%5.%6."/>
      <w:lvlJc w:val="left"/>
      <w:pPr>
        <w:tabs>
          <w:tab w:val="num" w:pos="0"/>
        </w:tabs>
        <w:ind w:left="1083" w:hanging="1080"/>
      </w:pPr>
      <w:rPr/>
    </w:lvl>
    <w:lvl w:ilvl="6">
      <w:start w:val="1"/>
      <w:numFmt w:val="decimal"/>
      <w:lvlText w:val="%1.%2.%3.%4.%5.%6.%7."/>
      <w:lvlJc w:val="left"/>
      <w:pPr>
        <w:tabs>
          <w:tab w:val="num" w:pos="0"/>
        </w:tabs>
        <w:ind w:left="1444" w:hanging="1440"/>
      </w:pPr>
      <w:rPr/>
    </w:lvl>
    <w:lvl w:ilvl="7">
      <w:start w:val="1"/>
      <w:numFmt w:val="decimal"/>
      <w:lvlText w:val="%1.%2.%3.%4.%5.%6.%7.%8."/>
      <w:lvlJc w:val="left"/>
      <w:pPr>
        <w:tabs>
          <w:tab w:val="num" w:pos="0"/>
        </w:tabs>
        <w:ind w:left="1445" w:hanging="1440"/>
      </w:pPr>
      <w:rPr/>
    </w:lvl>
    <w:lvl w:ilvl="8">
      <w:start w:val="1"/>
      <w:numFmt w:val="decimal"/>
      <w:lvlText w:val="%1.%2.%3.%4.%5.%6.%7.%8.%9."/>
      <w:lvlJc w:val="left"/>
      <w:pPr>
        <w:tabs>
          <w:tab w:val="num" w:pos="0"/>
        </w:tabs>
        <w:ind w:left="1806" w:hanging="180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56"/>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43dc1"/>
    <w:pPr>
      <w:widowControl/>
      <w:suppressAutoHyphens w:val="fals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ind w:left="3969"/>
      <w:jc w:val="both"/>
      <w:outlineLvl w:val="0"/>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uiPriority w:val="99"/>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TextodenotaderodapChar" w:customStyle="1">
    <w:name w:val="Texto de nota de rodapé Char"/>
    <w:basedOn w:val="DefaultParagraphFont"/>
    <w:uiPriority w:val="99"/>
    <w:semiHidden/>
    <w:qFormat/>
    <w:rsid w:val="00663379"/>
    <w:rPr>
      <w:sz w:val="20"/>
      <w:szCs w:val="20"/>
      <w:vertAlign w:val="subscript"/>
    </w:rPr>
  </w:style>
  <w:style w:type="character" w:styleId="Caracteresdenotaderodap" w:customStyle="1">
    <w:name w:val="Caracteres de nota de rodapé"/>
    <w:uiPriority w:val="99"/>
    <w:semiHidden/>
    <w:unhideWhenUsed/>
    <w:qFormat/>
    <w:rsid w:val="00663379"/>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9a22ee"/>
    <w:rPr>
      <w:color w:themeColor="hyperlink" w:val="0000FF"/>
      <w:u w:val="single"/>
    </w:rPr>
  </w:style>
  <w:style w:type="character" w:styleId="MenoPendente1" w:customStyle="1">
    <w:name w:val="Menção Pendente1"/>
    <w:basedOn w:val="DefaultParagraphFont"/>
    <w:uiPriority w:val="99"/>
    <w:semiHidden/>
    <w:unhideWhenUsed/>
    <w:qFormat/>
    <w:rsid w:val="00645ec7"/>
    <w:rPr>
      <w:color w:val="605E5C"/>
      <w:shd w:fill="E1DFDD" w:val="clear"/>
    </w:rPr>
  </w:style>
  <w:style w:type="character" w:styleId="Strong">
    <w:name w:val="Strong"/>
    <w:basedOn w:val="DefaultParagraphFont"/>
    <w:uiPriority w:val="22"/>
    <w:qFormat/>
    <w:rsid w:val="00143dc1"/>
    <w:rPr>
      <w:b/>
      <w:bCs/>
    </w:rPr>
  </w:style>
  <w:style w:type="character" w:styleId="MenoPendente2" w:customStyle="1">
    <w:name w:val="Menção Pendente2"/>
    <w:basedOn w:val="DefaultParagraphFont"/>
    <w:uiPriority w:val="99"/>
    <w:semiHidden/>
    <w:unhideWhenUsed/>
    <w:qFormat/>
    <w:rsid w:val="006e688c"/>
    <w:rPr>
      <w:color w:val="605E5C"/>
      <w:shd w:fill="E1DFDD" w:val="clear"/>
    </w:rPr>
  </w:style>
  <w:style w:type="character" w:styleId="Marcadores" w:customStyle="1">
    <w:name w:val="Marcadores"/>
    <w:qFormat/>
    <w:rPr>
      <w:rFonts w:ascii="OpenSymbol" w:hAnsi="OpenSymbol" w:eastAsia="OpenSymbol" w:cs="OpenSymbol"/>
    </w:rPr>
  </w:style>
  <w:style w:type="character" w:styleId="TextodenotadefimChar" w:customStyle="1">
    <w:name w:val="Texto de nota de fim Char"/>
    <w:basedOn w:val="DefaultParagraphFont"/>
    <w:uiPriority w:val="99"/>
    <w:semiHidden/>
    <w:qFormat/>
    <w:rsid w:val="002d059c"/>
    <w:rPr>
      <w:sz w:val="20"/>
      <w:szCs w:val="20"/>
    </w:rPr>
  </w:style>
  <w:style w:type="character" w:styleId="Caracteresdenotadefim" w:customStyle="1">
    <w:name w:val="Caracteres de nota de fim"/>
    <w:uiPriority w:val="99"/>
    <w:semiHidden/>
    <w:unhideWhenUsed/>
    <w:qFormat/>
    <w:rsid w:val="002d059c"/>
    <w:rPr>
      <w:vertAlign w:val="superscript"/>
    </w:rPr>
  </w:style>
  <w:style w:type="character" w:styleId="EndnoteReference">
    <w:name w:val="endnote reference"/>
    <w:rPr>
      <w:vertAlign w:val="superscript"/>
    </w:rPr>
  </w:style>
  <w:style w:type="character" w:styleId="Emphasis">
    <w:name w:val="Emphasis"/>
    <w:basedOn w:val="DefaultParagraphFont"/>
    <w:uiPriority w:val="20"/>
    <w:qFormat/>
    <w:rsid w:val="002d059c"/>
    <w:rPr>
      <w:i/>
      <w:iCs/>
    </w:rPr>
  </w:style>
  <w:style w:type="character" w:styleId="Smbolosdenumerao">
    <w:name w:val="Símbolos de numeração"/>
    <w:qFormat/>
    <w:rPr/>
  </w:style>
  <w:style w:type="character" w:styleId="CommentReference">
    <w:name w:val="annotation reference"/>
    <w:basedOn w:val="DefaultParagraphFont"/>
    <w:qFormat/>
    <w:rPr>
      <w:sz w:val="16"/>
      <w:szCs w:val="16"/>
    </w:rPr>
  </w:style>
  <w:style w:type="character" w:styleId="TextodecomentrioChar">
    <w:name w:val="Texto de comentário Char"/>
    <w:basedOn w:val="DefaultParagraphFont"/>
    <w:qFormat/>
    <w:rPr>
      <w:rFonts w:eastAsia="Times New Roman" w:cs="Times New Roman"/>
      <w:sz w:val="20"/>
      <w:szCs w:val="20"/>
    </w:rPr>
  </w:style>
  <w:style w:type="character" w:styleId="UnresolvedMention">
    <w:name w:val="Unresolved Mention"/>
    <w:basedOn w:val="DefaultParagraphFont"/>
    <w:qFormat/>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qFormat/>
    <w:pPr>
      <w:keepNext w:val="true"/>
      <w:keepLines/>
      <w:spacing w:before="480" w:after="120"/>
    </w:pPr>
    <w:rPr>
      <w:b/>
      <w:sz w:val="72"/>
      <w:szCs w:val="7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caption111" w:customStyle="1">
    <w:name w:val="caption111"/>
    <w:basedOn w:val="Normal"/>
    <w:qFormat/>
    <w:pPr>
      <w:suppressLineNumbers/>
      <w:spacing w:before="120" w:after="120"/>
    </w:pPr>
    <w:rPr>
      <w:rFonts w:cs="Arial"/>
      <w:i/>
      <w:iCs/>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uiPriority w:val="99"/>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ListParagraph">
    <w:name w:val="List Paragraph"/>
    <w:basedOn w:val="Normal"/>
    <w:uiPriority w:val="34"/>
    <w:qFormat/>
    <w:rsid w:val="008c672b"/>
    <w:pPr>
      <w:spacing w:before="0" w:after="0"/>
      <w:ind w:left="720"/>
      <w:contextualSpacing/>
    </w:pPr>
    <w:rPr/>
  </w:style>
  <w:style w:type="paragraph" w:styleId="FootnoteText">
    <w:name w:val="footnote text"/>
    <w:basedOn w:val="Normal"/>
    <w:link w:val="TextodenotaderodapChar"/>
    <w:uiPriority w:val="99"/>
    <w:semiHidden/>
    <w:unhideWhenUsed/>
    <w:rsid w:val="00663379"/>
    <w:pPr/>
    <w:rPr>
      <w:sz w:val="20"/>
      <w:szCs w:val="20"/>
    </w:rPr>
  </w:style>
  <w:style w:type="paragraph" w:styleId="LO-Normal" w:customStyle="1">
    <w:name w:val="LO-Normal"/>
    <w:qFormat/>
    <w:rsid w:val="00094c56"/>
    <w:pPr>
      <w:widowControl w:val="false"/>
      <w:suppressAutoHyphens w:val="true"/>
      <w:bidi w:val="0"/>
      <w:spacing w:before="0" w:after="0"/>
      <w:jc w:val="left"/>
      <w:textAlignment w:val="baseline"/>
    </w:pPr>
    <w:rPr>
      <w:rFonts w:ascii="Times New Roman" w:hAnsi="Times New Roman" w:eastAsia="SimSun" w:cs="Tahoma"/>
      <w:color w:val="auto"/>
      <w:kern w:val="2"/>
      <w:sz w:val="24"/>
      <w:szCs w:val="24"/>
      <w:lang w:val="pt-BR" w:eastAsia="hi-IN" w:bidi="hi-IN"/>
    </w:rPr>
  </w:style>
  <w:style w:type="paragraph" w:styleId="TableParagraph" w:customStyle="1">
    <w:name w:val="Table Paragraph"/>
    <w:basedOn w:val="Normal"/>
    <w:uiPriority w:val="1"/>
    <w:qFormat/>
    <w:rsid w:val="000920f6"/>
    <w:pPr>
      <w:widowControl w:val="false"/>
    </w:pPr>
    <w:rPr>
      <w:sz w:val="22"/>
      <w:szCs w:val="22"/>
      <w:lang w:val="pt-PT" w:eastAsia="en-US"/>
    </w:rPr>
  </w:style>
  <w:style w:type="paragraph" w:styleId="Contedodoquadrouser" w:customStyle="1">
    <w:name w:val="Conteúdo do quadro (user)"/>
    <w:basedOn w:val="Normal"/>
    <w:qFormat/>
    <w:pPr/>
    <w:rPr/>
  </w:style>
  <w:style w:type="paragraph" w:styleId="Contedodatabelauser" w:customStyle="1">
    <w:name w:val="Conteúdo da tabela (user)"/>
    <w:basedOn w:val="Normal"/>
    <w:qFormat/>
    <w:pPr>
      <w:widowControl w:val="false"/>
      <w:suppressLineNumbers/>
    </w:pPr>
    <w:rPr/>
  </w:style>
  <w:style w:type="paragraph" w:styleId="Ttulodetabelauser" w:customStyle="1">
    <w:name w:val="Título de tabela (user)"/>
    <w:basedOn w:val="Contedodatabelauser"/>
    <w:qFormat/>
    <w:pPr>
      <w:jc w:val="center"/>
    </w:pPr>
    <w:rPr>
      <w:b/>
      <w:bCs/>
    </w:rPr>
  </w:style>
  <w:style w:type="paragraph" w:styleId="NormalWeb">
    <w:name w:val="Normal (Web)"/>
    <w:basedOn w:val="Normal"/>
    <w:uiPriority w:val="99"/>
    <w:unhideWhenUsed/>
    <w:qFormat/>
    <w:rsid w:val="00143dc1"/>
    <w:pPr>
      <w:spacing w:beforeAutospacing="1" w:afterAutospacing="1"/>
    </w:pPr>
    <w:rPr/>
  </w:style>
  <w:style w:type="paragraph" w:styleId="Blocodecitaouser" w:customStyle="1">
    <w:name w:val="Bloco de citação (user)"/>
    <w:basedOn w:val="Normal"/>
    <w:qFormat/>
    <w:pPr>
      <w:spacing w:before="0" w:after="283"/>
      <w:ind w:left="567" w:right="567"/>
    </w:pPr>
    <w:rPr/>
  </w:style>
  <w:style w:type="paragraph" w:styleId="EndnoteText">
    <w:name w:val="endnote text"/>
    <w:basedOn w:val="Normal"/>
    <w:link w:val="TextodenotadefimChar"/>
    <w:uiPriority w:val="99"/>
    <w:semiHidden/>
    <w:unhideWhenUsed/>
    <w:rsid w:val="002d059c"/>
    <w:pPr/>
    <w:rPr>
      <w:sz w:val="20"/>
      <w:szCs w:val="20"/>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Blocodecitao">
    <w:name w:val="Bloco de citação"/>
    <w:basedOn w:val="Normal"/>
    <w:qFormat/>
    <w:pPr>
      <w:spacing w:before="0" w:after="283"/>
      <w:ind w:hanging="0" w:left="567" w:right="567"/>
    </w:pPr>
    <w:rPr/>
  </w:style>
  <w:style w:type="paragraph" w:styleId="Cabealhoerodap41">
    <w:name w:val="Cabeçalho e rodapé41"/>
    <w:basedOn w:val="Normal"/>
    <w:qFormat/>
    <w:pPr/>
    <w:rPr/>
  </w:style>
  <w:style w:type="paragraph" w:styleId="Cabealhoerodap51">
    <w:name w:val="Cabeçalho e rodapé51"/>
    <w:basedOn w:val="Normal"/>
    <w:qFormat/>
    <w:pPr/>
    <w:rPr/>
  </w:style>
  <w:style w:type="paragraph" w:styleId="CommentText">
    <w:name w:val="annotation text"/>
    <w:basedOn w:val="Normal"/>
    <w:pPr>
      <w:spacing w:lineRule="auto" w:line="240"/>
    </w:pPr>
    <w:rPr>
      <w:sz w:val="20"/>
      <w:szCs w:val="20"/>
    </w:rPr>
  </w:style>
  <w:style w:type="paragraph" w:styleId="Cabealhoerodap12">
    <w:name w:val="Cabeçalho e rodapé12"/>
    <w:basedOn w:val="Normal"/>
    <w:qFormat/>
    <w:pPr/>
    <w:rPr/>
  </w:style>
  <w:style w:type="paragraph" w:styleId="Cabealhoerodap11">
    <w:name w:val="Cabeçalho e rodapé11"/>
    <w:basedOn w:val="Normal"/>
    <w:qFormat/>
    <w:pPr/>
    <w:rPr/>
  </w:style>
  <w:style w:type="paragraph" w:styleId="Cabealhoerodap10">
    <w:name w:val="Cabeçalho e rodapé10"/>
    <w:basedOn w:val="Normal"/>
    <w:qFormat/>
    <w:pPr/>
    <w:rPr/>
  </w:style>
  <w:style w:type="paragraph" w:styleId="Cabealhoerodap9">
    <w:name w:val="Cabeçalho e rodapé9"/>
    <w:basedOn w:val="Normal"/>
    <w:qFormat/>
    <w:pPr/>
    <w:rPr/>
  </w:style>
  <w:style w:type="paragraph" w:styleId="Cabealhoerodap8">
    <w:name w:val="Cabeçalho e rodapé8"/>
    <w:basedOn w:val="Normal"/>
    <w:qFormat/>
    <w:pPr/>
    <w:rPr/>
  </w:style>
  <w:style w:type="paragraph" w:styleId="Cabealhoerodap7">
    <w:name w:val="Cabeçalho e rodapé7"/>
    <w:basedOn w:val="Normal"/>
    <w:qFormat/>
    <w:pPr/>
    <w:rPr/>
  </w:style>
  <w:style w:type="paragraph" w:styleId="Cabealhoerodap6">
    <w:name w:val="Cabeçalho e rodapé6"/>
    <w:basedOn w:val="Normal"/>
    <w:qFormat/>
    <w:pPr/>
    <w:rPr/>
  </w:style>
  <w:style w:type="paragraph" w:styleId="Cabealhoerodap52">
    <w:name w:val="Cabeçalho e rodapé52"/>
    <w:basedOn w:val="Normal"/>
    <w:qFormat/>
    <w:pPr/>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comgrade">
    <w:name w:val="Table Grid"/>
    <w:basedOn w:val="Tabelanormal"/>
    <w:uiPriority w:val="39"/>
    <w:rsid w:val="00704db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3">
    <w:name w:val="Table Normal3"/>
    <w:uiPriority w:val="2"/>
    <w:semiHidden/>
    <w:unhideWhenUsed/>
    <w:qFormat/>
    <w:rsid w:val="00f27bf0"/>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 w:type="table" w:customStyle="1" w:styleId="Tabelacomgrade1">
    <w:name w:val="Tabela com grade1"/>
    <w:basedOn w:val="Tabelanormal"/>
    <w:uiPriority w:val="39"/>
    <w:rsid w:val="00af6594"/>
    <w:rPr>
      <w:rFonts w:asciiTheme="minorHAnsi" w:hAnsiTheme="minorHAnsi"/>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bandeirantes.pr.gov.br/diario-oficial-eletronico"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A98C4FD2-4B3B-4E1B-93B8-F41ACBBCEA4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798</TotalTime>
  <Application>LibreOffice/24.8.6.2$Windows_X86_64 LibreOffice_project/6d98ba145e9a8a39fc57bcc76981d1fb1316c60c</Application>
  <AppVersion>15.0000</AppVersion>
  <Pages>16</Pages>
  <Words>7399</Words>
  <Characters>42347</Characters>
  <CharactersWithSpaces>49525</CharactersWithSpaces>
  <Paragraphs>368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2025-03-06T19:46:00Z</dcterms:created>
  <dc:creator>x</dc:creator>
  <dc:description/>
  <dc:language>pt-BR</dc:language>
  <cp:lastModifiedBy/>
  <cp:lastPrinted>2025-04-24T15:52:38Z</cp:lastPrinted>
  <dcterms:modified xsi:type="dcterms:W3CDTF">2025-04-24T15:53:31Z</dcterms:modified>
  <cp:revision>220</cp:revision>
  <dc:subject/>
  <dc:title/>
</cp:coreProperties>
</file>

<file path=docProps/custom.xml><?xml version="1.0" encoding="utf-8"?>
<Properties xmlns="http://schemas.openxmlformats.org/officeDocument/2006/custom-properties" xmlns:vt="http://schemas.openxmlformats.org/officeDocument/2006/docPropsVTypes"/>
</file>